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E5A" w:rsidRPr="008914ED" w:rsidRDefault="001F6E63" w:rsidP="006172AC">
      <w:pPr>
        <w:jc w:val="both"/>
        <w:rPr>
          <w:rFonts w:ascii="Arial" w:hAnsi="Arial" w:cs="Arial"/>
          <w:b/>
        </w:rPr>
      </w:pPr>
      <w:r w:rsidRPr="008914ED">
        <w:rPr>
          <w:rFonts w:ascii="Arial" w:hAnsi="Arial" w:cs="Arial"/>
          <w:b/>
        </w:rPr>
        <w:t>Vyjádření k problematice investičních transferů u příspěvkových organizací.</w:t>
      </w:r>
    </w:p>
    <w:p w:rsidR="001F6E63" w:rsidRPr="006172AC" w:rsidRDefault="00BD5383" w:rsidP="006172AC">
      <w:pPr>
        <w:jc w:val="both"/>
        <w:rPr>
          <w:rFonts w:ascii="Arial" w:hAnsi="Arial" w:cs="Arial"/>
        </w:rPr>
      </w:pPr>
      <w:r w:rsidRPr="006172AC">
        <w:rPr>
          <w:rFonts w:ascii="Arial" w:hAnsi="Arial" w:cs="Arial"/>
        </w:rPr>
        <w:t>Příspěvkovým organizacím</w:t>
      </w:r>
      <w:r w:rsidR="006172AC" w:rsidRPr="006172AC">
        <w:rPr>
          <w:rFonts w:ascii="Arial" w:hAnsi="Arial" w:cs="Arial"/>
        </w:rPr>
        <w:t xml:space="preserve"> (dále PO)</w:t>
      </w:r>
      <w:r w:rsidRPr="006172AC">
        <w:rPr>
          <w:rFonts w:ascii="Arial" w:hAnsi="Arial" w:cs="Arial"/>
        </w:rPr>
        <w:t xml:space="preserve"> je předáván do správy nemovitý majetek (technické zhodnocení) a pokud je tento nemovitý majetek pořízen z dotace, je předáván zároveň i investiční transfer, který zřizovatel obdržel a využil na technické zhodnocení (např. budovy Slezského divadla, Domu umění apod.).  </w:t>
      </w:r>
    </w:p>
    <w:p w:rsidR="00BD5383" w:rsidRPr="006172AC" w:rsidRDefault="00BD5383" w:rsidP="006172AC">
      <w:pPr>
        <w:jc w:val="both"/>
        <w:rPr>
          <w:rFonts w:ascii="Arial" w:hAnsi="Arial" w:cs="Arial"/>
        </w:rPr>
      </w:pPr>
      <w:r w:rsidRPr="006172AC">
        <w:rPr>
          <w:rFonts w:ascii="Arial" w:hAnsi="Arial" w:cs="Arial"/>
        </w:rPr>
        <w:t xml:space="preserve">Dle stávajícího znění ČÚS 708 </w:t>
      </w:r>
      <w:r w:rsidR="00AB634F" w:rsidRPr="006172AC">
        <w:rPr>
          <w:rFonts w:ascii="Arial" w:hAnsi="Arial" w:cs="Arial"/>
        </w:rPr>
        <w:t>je povinnost účtovat zúčtování investičního transferu poskytnutého na technické zhodnocení dlouhodobého hmotného majetku do výnosů.</w:t>
      </w:r>
      <w:r w:rsidR="006172AC" w:rsidRPr="006172AC">
        <w:rPr>
          <w:rFonts w:ascii="Arial" w:hAnsi="Arial" w:cs="Arial"/>
        </w:rPr>
        <w:t xml:space="preserve"> Prakticky to znamená, že tyto transfery musí PO zaúčtovat do výnosů a dochází k navýšení hospodářského výsledku (dále HV), který je pouze účetní číselnou záležitostí, finančně není kryt. Dle zákona 250/200 Sb., o rozpočtových pravidlech zřizovatel schvaluje rozdělení HV do rezervního fondu nebo fondu odměn. V případě převedení tedy dochází k tomu, že tyto fondy nejsou finančně kryty a údaje obsažené na těchto účtech jsou zkreslující.</w:t>
      </w:r>
    </w:p>
    <w:p w:rsidR="006172AC" w:rsidRDefault="006172AC" w:rsidP="006172AC">
      <w:pPr>
        <w:jc w:val="both"/>
        <w:rPr>
          <w:rFonts w:ascii="Arial" w:hAnsi="Arial" w:cs="Arial"/>
        </w:rPr>
      </w:pPr>
      <w:r w:rsidRPr="006172AC">
        <w:rPr>
          <w:rFonts w:ascii="Arial" w:hAnsi="Arial" w:cs="Arial"/>
        </w:rPr>
        <w:t xml:space="preserve">K dané problematice se dotázaly PO Slezské divadlo a OKO a společnosti Daňové poradenství Tomáš Paclík a.s. </w:t>
      </w:r>
      <w:r w:rsidR="00006E13">
        <w:rPr>
          <w:rFonts w:ascii="Arial" w:hAnsi="Arial" w:cs="Arial"/>
        </w:rPr>
        <w:t xml:space="preserve">Tato společnost jim odpověděla, že možností, jak se s danou problematikou vypořádat je více - </w:t>
      </w:r>
      <w:r w:rsidRPr="006172AC">
        <w:rPr>
          <w:rFonts w:ascii="Arial" w:hAnsi="Arial" w:cs="Arial"/>
        </w:rPr>
        <w:t>viz citujeme:</w:t>
      </w:r>
      <w:r w:rsidR="00006E13">
        <w:rPr>
          <w:rFonts w:ascii="Arial" w:hAnsi="Arial" w:cs="Arial"/>
        </w:rPr>
        <w:t xml:space="preserve"> </w:t>
      </w:r>
    </w:p>
    <w:p w:rsidR="00006E13" w:rsidRDefault="00006E13" w:rsidP="006172AC">
      <w:pPr>
        <w:jc w:val="both"/>
        <w:rPr>
          <w:rFonts w:ascii="Arial" w:hAnsi="Arial" w:cs="Arial"/>
        </w:rPr>
      </w:pPr>
      <w:r>
        <w:rPr>
          <w:rFonts w:ascii="Arial" w:hAnsi="Arial" w:cs="Arial"/>
          <w:noProof/>
          <w:lang w:eastAsia="cs-CZ"/>
        </w:rPr>
        <w:drawing>
          <wp:inline distT="0" distB="0" distL="0" distR="0">
            <wp:extent cx="5760720" cy="375716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757161"/>
                    </a:xfrm>
                    <a:prstGeom prst="rect">
                      <a:avLst/>
                    </a:prstGeom>
                    <a:noFill/>
                    <a:ln>
                      <a:noFill/>
                    </a:ln>
                  </pic:spPr>
                </pic:pic>
              </a:graphicData>
            </a:graphic>
          </wp:inline>
        </w:drawing>
      </w:r>
    </w:p>
    <w:p w:rsidR="006172AC" w:rsidRDefault="00905E20" w:rsidP="006172AC">
      <w:pPr>
        <w:jc w:val="both"/>
        <w:rPr>
          <w:rFonts w:ascii="Arial" w:hAnsi="Arial" w:cs="Arial"/>
        </w:rPr>
      </w:pPr>
      <w:r>
        <w:rPr>
          <w:rFonts w:ascii="Arial" w:hAnsi="Arial" w:cs="Arial"/>
        </w:rPr>
        <w:t xml:space="preserve">Výše uvedená společnost zároveň doporučila zřizovateli odsouhlasit variantu </w:t>
      </w:r>
      <w:proofErr w:type="gramStart"/>
      <w:r>
        <w:rPr>
          <w:rFonts w:ascii="Arial" w:hAnsi="Arial" w:cs="Arial"/>
        </w:rPr>
        <w:t>č.4.</w:t>
      </w:r>
      <w:proofErr w:type="gramEnd"/>
    </w:p>
    <w:p w:rsidR="00905E20" w:rsidRDefault="00905E20" w:rsidP="006172AC">
      <w:pPr>
        <w:jc w:val="both"/>
        <w:rPr>
          <w:rFonts w:ascii="Arial" w:hAnsi="Arial" w:cs="Arial"/>
        </w:rPr>
      </w:pPr>
      <w:r>
        <w:rPr>
          <w:rFonts w:ascii="Arial" w:hAnsi="Arial" w:cs="Arial"/>
          <w:noProof/>
          <w:lang w:eastAsia="cs-CZ"/>
        </w:rPr>
        <w:lastRenderedPageBreak/>
        <w:drawing>
          <wp:inline distT="0" distB="0" distL="0" distR="0">
            <wp:extent cx="5760720" cy="253571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35719"/>
                    </a:xfrm>
                    <a:prstGeom prst="rect">
                      <a:avLst/>
                    </a:prstGeom>
                    <a:noFill/>
                    <a:ln>
                      <a:noFill/>
                    </a:ln>
                  </pic:spPr>
                </pic:pic>
              </a:graphicData>
            </a:graphic>
          </wp:inline>
        </w:drawing>
      </w:r>
    </w:p>
    <w:p w:rsidR="00905E20" w:rsidRDefault="00905E20" w:rsidP="006172AC">
      <w:pPr>
        <w:jc w:val="both"/>
        <w:rPr>
          <w:rFonts w:ascii="Arial" w:hAnsi="Arial" w:cs="Arial"/>
        </w:rPr>
      </w:pPr>
      <w:r>
        <w:rPr>
          <w:rFonts w:ascii="Arial" w:hAnsi="Arial" w:cs="Arial"/>
        </w:rPr>
        <w:t>Tato varianta se ale zástupcům odboru finančního a rozpočtového zdála jako nejméně vhodná.</w:t>
      </w:r>
    </w:p>
    <w:p w:rsidR="006172AC" w:rsidRPr="006172AC" w:rsidRDefault="006172AC" w:rsidP="00905E20">
      <w:pPr>
        <w:spacing w:after="0"/>
        <w:jc w:val="both"/>
        <w:rPr>
          <w:rFonts w:ascii="Arial" w:hAnsi="Arial" w:cs="Arial"/>
        </w:rPr>
      </w:pPr>
      <w:r>
        <w:t xml:space="preserve"> </w:t>
      </w:r>
      <w:r>
        <w:rPr>
          <w:rFonts w:ascii="Arial" w:hAnsi="Arial" w:cs="Arial"/>
        </w:rPr>
        <w:t>Zřizovatel</w:t>
      </w:r>
      <w:r w:rsidR="00905E20">
        <w:rPr>
          <w:rFonts w:ascii="Arial" w:hAnsi="Arial" w:cs="Arial"/>
        </w:rPr>
        <w:t xml:space="preserve"> tedy </w:t>
      </w:r>
      <w:r>
        <w:rPr>
          <w:rFonts w:ascii="Arial" w:hAnsi="Arial" w:cs="Arial"/>
        </w:rPr>
        <w:t xml:space="preserve">požádal o vyjádření externího auditora Ing. Ondřeje, jehož společnost </w:t>
      </w:r>
      <w:proofErr w:type="spellStart"/>
      <w:r>
        <w:rPr>
          <w:rFonts w:ascii="Arial" w:hAnsi="Arial" w:cs="Arial"/>
        </w:rPr>
        <w:t>Danepo</w:t>
      </w:r>
      <w:proofErr w:type="spellEnd"/>
      <w:r>
        <w:rPr>
          <w:rFonts w:ascii="Arial" w:hAnsi="Arial" w:cs="Arial"/>
        </w:rPr>
        <w:t xml:space="preserve"> s.r.o. prováděla přezkum hospodaření SMO. Úryvek odpovědi citujeme:</w:t>
      </w:r>
      <w:r>
        <w:t xml:space="preserve"> </w:t>
      </w:r>
    </w:p>
    <w:p w:rsidR="006172AC" w:rsidRPr="006172AC" w:rsidRDefault="007316FA" w:rsidP="006172AC">
      <w:pPr>
        <w:spacing w:before="120"/>
        <w:ind w:left="360"/>
        <w:jc w:val="both"/>
        <w:rPr>
          <w:i/>
        </w:rPr>
      </w:pPr>
      <w:r>
        <w:rPr>
          <w:i/>
        </w:rPr>
        <w:t>D</w:t>
      </w:r>
      <w:r w:rsidR="006172AC" w:rsidRPr="006172AC">
        <w:rPr>
          <w:i/>
        </w:rPr>
        <w:t>omnívám se, že stávající úprava účtování uvedená v závazných účetních předpisech včetně postupu účtování dle standardu ČÚS 708 není v rozporu s požadavkem na správnost a věcný a poctivý obraz účetnictví. Interpretace zůstatků a obratů dotčených účtů použitých v rámci tohoto postupu účtování umožňuje v jistých ohledech lepší orientaci a vypovídací schopnost účetní závěrky než navrhované variantní úpravy účtování.</w:t>
      </w:r>
    </w:p>
    <w:p w:rsidR="006172AC" w:rsidRPr="006172AC" w:rsidRDefault="006172AC" w:rsidP="006172AC">
      <w:pPr>
        <w:spacing w:before="120"/>
        <w:ind w:left="360"/>
        <w:jc w:val="both"/>
        <w:rPr>
          <w:i/>
        </w:rPr>
      </w:pPr>
      <w:r w:rsidRPr="006172AC">
        <w:rPr>
          <w:i/>
        </w:rPr>
        <w:t>Zúčtování investičních transferů ve věcné a časové souvislosti dle ČÚS 708 představují výnosy, které jsou součástí výsledku hospodaření, avšak nejsou spojeny s peněžním tokem, což není samo o sobě chybou.</w:t>
      </w:r>
    </w:p>
    <w:p w:rsidR="006172AC" w:rsidRPr="006172AC" w:rsidRDefault="006172AC" w:rsidP="006172AC">
      <w:pPr>
        <w:spacing w:before="120"/>
        <w:ind w:left="360"/>
        <w:jc w:val="both"/>
        <w:rPr>
          <w:i/>
        </w:rPr>
      </w:pPr>
      <w:r w:rsidRPr="006172AC">
        <w:rPr>
          <w:i/>
        </w:rPr>
        <w:t xml:space="preserve">Chybu tak nespatřuji v postupech účtování, ale ve </w:t>
      </w:r>
      <w:r w:rsidRPr="006172AC">
        <w:rPr>
          <w:b/>
          <w:i/>
        </w:rPr>
        <w:t>zjednodušené interpretaci výsledku hospodaření</w:t>
      </w:r>
      <w:r w:rsidRPr="006172AC">
        <w:rPr>
          <w:i/>
        </w:rPr>
        <w:t xml:space="preserve">. Dlouhodobě upozorňuji na skutečnost, že v rámci schvalování výsledku hospodaření zcela absentuje důležité posouzení, zda účetní výsledek hospodaření byl dosažen zcela nebo z části, popř. vůbec prostřednictvím zlepšeného hospodaření PO. Podle mého názoru výsledek hospodaření dosažený např. nerealizováním nákladů, na které byl zřizovatelem poskytnut příspěvek, stejně jako např. zaúčtování výnosů z časového rozlišení investičních transferů nelze považovat za zlepšený výsledek hospodaření ve smyslu § 30 zákona č. 250/2000 Sb., o rozpočtových pravidlech územních rozpočtů, a proto nemůže být předmětem rozdělení do rezervního fondu či fondu odměn.     </w:t>
      </w:r>
    </w:p>
    <w:p w:rsidR="00BD5383" w:rsidRPr="007316FA" w:rsidRDefault="006172AC" w:rsidP="007316FA">
      <w:pPr>
        <w:spacing w:before="120"/>
        <w:ind w:left="360"/>
        <w:jc w:val="both"/>
        <w:rPr>
          <w:rFonts w:ascii="Arial" w:hAnsi="Arial" w:cs="Arial"/>
          <w:i/>
        </w:rPr>
      </w:pPr>
      <w:r w:rsidRPr="006172AC">
        <w:rPr>
          <w:i/>
        </w:rPr>
        <w:t>Rozdíl mezi kladným výsledkem hospodaření zlepšeným výsledkem hospodaření pak zůstane nerozdělen na účtu 432 – Nerozdělený zisk, neuhrazená ztráta minulých let.</w:t>
      </w:r>
    </w:p>
    <w:p w:rsidR="00AC1287" w:rsidRDefault="00AC1287" w:rsidP="007316FA">
      <w:pPr>
        <w:spacing w:after="0"/>
        <w:rPr>
          <w:rFonts w:ascii="Arial" w:hAnsi="Arial" w:cs="Arial"/>
        </w:rPr>
      </w:pPr>
    </w:p>
    <w:p w:rsidR="00BD5383" w:rsidRDefault="007316FA" w:rsidP="00905E20">
      <w:pPr>
        <w:spacing w:after="0"/>
        <w:jc w:val="both"/>
        <w:rPr>
          <w:rFonts w:ascii="Arial" w:hAnsi="Arial" w:cs="Arial"/>
        </w:rPr>
      </w:pPr>
      <w:r>
        <w:rPr>
          <w:rFonts w:ascii="Arial" w:hAnsi="Arial" w:cs="Arial"/>
        </w:rPr>
        <w:t>Na dané téma probíhá již několikaletá komunikace mezi ministerstvem financí a odborníky v dané oblasti, ale k dnešnímu dni není závazné stanovisko, jak se k dané problematice postavit.</w:t>
      </w:r>
    </w:p>
    <w:p w:rsidR="007316FA" w:rsidRDefault="007316FA" w:rsidP="007316FA">
      <w:pPr>
        <w:spacing w:after="0"/>
        <w:rPr>
          <w:rFonts w:ascii="Arial" w:hAnsi="Arial" w:cs="Arial"/>
        </w:rPr>
      </w:pPr>
      <w:r>
        <w:rPr>
          <w:rFonts w:ascii="Arial" w:hAnsi="Arial" w:cs="Arial"/>
        </w:rPr>
        <w:lastRenderedPageBreak/>
        <w:t xml:space="preserve">Přikládáme stanovisko Ing. Nejezchleba, který se problematikou účetnictví příspěvkových organizací zabývá již několik let: </w:t>
      </w:r>
    </w:p>
    <w:p w:rsidR="00905E20" w:rsidRDefault="00905E20" w:rsidP="00905E20">
      <w:pPr>
        <w:pStyle w:val="Nadpis2"/>
        <w:numPr>
          <w:ilvl w:val="0"/>
          <w:numId w:val="0"/>
        </w:numPr>
        <w:ind w:left="568"/>
      </w:pPr>
      <w:r>
        <w:t>Postoj MFČR k problematice (vypořádání připomínek – „schvalovací vyhláška“)</w:t>
      </w:r>
    </w:p>
    <w:p w:rsidR="00905E20" w:rsidRDefault="00905E20" w:rsidP="00905E20">
      <w:pPr>
        <w:pStyle w:val="n00"/>
        <w:rPr>
          <w:sz w:val="24"/>
          <w:szCs w:val="24"/>
        </w:rPr>
      </w:pPr>
      <w:r w:rsidRPr="00406287">
        <w:rPr>
          <w:sz w:val="24"/>
          <w:szCs w:val="24"/>
        </w:rPr>
        <w:t>V létě 2013 jsme zaznamenali velice zajímavou reakci k problematice ze strany MFČR a to v rámci vypořádání připomínek k vyhlášce o schvalování účetních závěrek</w:t>
      </w:r>
      <w:r>
        <w:rPr>
          <w:sz w:val="24"/>
          <w:szCs w:val="24"/>
        </w:rPr>
        <w:t xml:space="preserve"> (také jsme na tuto reakci</w:t>
      </w:r>
      <w:r w:rsidRPr="00406287">
        <w:rPr>
          <w:sz w:val="24"/>
          <w:szCs w:val="24"/>
        </w:rPr>
        <w:t xml:space="preserve"> upozornili v rámci </w:t>
      </w:r>
      <w:r>
        <w:rPr>
          <w:sz w:val="24"/>
          <w:szCs w:val="24"/>
        </w:rPr>
        <w:t>dokumentů</w:t>
      </w:r>
      <w:r w:rsidRPr="00406287">
        <w:rPr>
          <w:sz w:val="24"/>
          <w:szCs w:val="24"/>
        </w:rPr>
        <w:t>).</w:t>
      </w:r>
    </w:p>
    <w:p w:rsidR="00905E20" w:rsidRPr="007E7409" w:rsidRDefault="00905E20" w:rsidP="00905E20">
      <w:pPr>
        <w:rPr>
          <w:rFonts w:ascii="Arial" w:hAnsi="Arial" w:cs="Arial"/>
          <w:sz w:val="18"/>
          <w:szCs w:val="18"/>
        </w:rPr>
      </w:pPr>
      <w:r w:rsidRPr="007E7409">
        <w:rPr>
          <w:rFonts w:ascii="Arial" w:hAnsi="Arial" w:cs="Arial"/>
          <w:sz w:val="18"/>
          <w:szCs w:val="18"/>
        </w:rPr>
        <w:t>Znění připomínky:</w:t>
      </w:r>
    </w:p>
    <w:p w:rsidR="00905E20" w:rsidRPr="007E7409" w:rsidRDefault="00905E20" w:rsidP="00905E20">
      <w:pPr>
        <w:widowControl w:val="0"/>
        <w:autoSpaceDE w:val="0"/>
        <w:autoSpaceDN w:val="0"/>
        <w:adjustRightInd w:val="0"/>
        <w:rPr>
          <w:sz w:val="18"/>
          <w:szCs w:val="18"/>
          <w:highlight w:val="lightGray"/>
        </w:rPr>
      </w:pPr>
      <w:r w:rsidRPr="007E7409">
        <w:rPr>
          <w:sz w:val="18"/>
          <w:szCs w:val="18"/>
          <w:highlight w:val="lightGray"/>
        </w:rPr>
        <w:t xml:space="preserve">Zde je stanoveno, že </w:t>
      </w:r>
      <w:r w:rsidRPr="007E7409">
        <w:rPr>
          <w:i/>
          <w:sz w:val="18"/>
          <w:szCs w:val="18"/>
          <w:highlight w:val="lightGray"/>
        </w:rPr>
        <w:t>"schválením účetní závěrky se rozumí také schválení výsledku hospodaření účetní jednotky včetně jeho rozdělení".</w:t>
      </w:r>
      <w:r w:rsidRPr="007E7409">
        <w:rPr>
          <w:sz w:val="18"/>
          <w:szCs w:val="18"/>
          <w:highlight w:val="lightGray"/>
        </w:rPr>
        <w:t xml:space="preserve"> </w:t>
      </w:r>
      <w:r w:rsidRPr="007E7409">
        <w:rPr>
          <w:b/>
          <w:sz w:val="18"/>
          <w:szCs w:val="18"/>
          <w:highlight w:val="lightGray"/>
        </w:rPr>
        <w:t>Upozorňujeme především na možný nesoulad s jiným právním předpisem</w:t>
      </w:r>
      <w:r w:rsidRPr="007E7409">
        <w:rPr>
          <w:sz w:val="18"/>
          <w:szCs w:val="18"/>
          <w:highlight w:val="lightGray"/>
        </w:rPr>
        <w:t>, konkrétně se zákonem č. 250/2000 Sb., o rozpočtových pravidlech územních rozpočtů.</w:t>
      </w:r>
    </w:p>
    <w:p w:rsidR="00905E20" w:rsidRPr="007E7409" w:rsidRDefault="00905E20" w:rsidP="00905E20">
      <w:pPr>
        <w:widowControl w:val="0"/>
        <w:autoSpaceDE w:val="0"/>
        <w:autoSpaceDN w:val="0"/>
        <w:adjustRightInd w:val="0"/>
        <w:rPr>
          <w:sz w:val="18"/>
          <w:szCs w:val="18"/>
          <w:highlight w:val="lightGray"/>
        </w:rPr>
      </w:pPr>
      <w:r w:rsidRPr="007E7409">
        <w:rPr>
          <w:sz w:val="18"/>
          <w:szCs w:val="18"/>
          <w:highlight w:val="lightGray"/>
        </w:rPr>
        <w:t>Jde o situaci, kdy účetní závěrku příspěvkové organizace zřízené obcí, kde se nevolí rada, bude schvalovat zastupitelstvo této obce, neboť:</w:t>
      </w:r>
    </w:p>
    <w:p w:rsidR="00905E20" w:rsidRPr="007E7409" w:rsidRDefault="00905E20" w:rsidP="00905E20">
      <w:pPr>
        <w:widowControl w:val="0"/>
        <w:autoSpaceDE w:val="0"/>
        <w:autoSpaceDN w:val="0"/>
        <w:adjustRightInd w:val="0"/>
        <w:rPr>
          <w:sz w:val="18"/>
          <w:szCs w:val="18"/>
          <w:highlight w:val="lightGray"/>
        </w:rPr>
      </w:pPr>
      <w:r w:rsidRPr="007E7409">
        <w:rPr>
          <w:sz w:val="18"/>
          <w:szCs w:val="18"/>
          <w:highlight w:val="lightGray"/>
        </w:rPr>
        <w:t>- v § 102, odst. 2, zákona č. 128/2000 Sb., o obcích je stanoveno mimo jiné, že radě obce je vyhrazeno:</w:t>
      </w:r>
    </w:p>
    <w:p w:rsidR="00905E20" w:rsidRPr="007E7409" w:rsidRDefault="00905E20" w:rsidP="00905E20">
      <w:pPr>
        <w:widowControl w:val="0"/>
        <w:autoSpaceDE w:val="0"/>
        <w:autoSpaceDN w:val="0"/>
        <w:adjustRightInd w:val="0"/>
        <w:rPr>
          <w:i/>
          <w:sz w:val="18"/>
          <w:szCs w:val="18"/>
          <w:highlight w:val="lightGray"/>
        </w:rPr>
      </w:pPr>
      <w:r w:rsidRPr="007E7409">
        <w:rPr>
          <w:i/>
          <w:sz w:val="18"/>
          <w:szCs w:val="18"/>
          <w:highlight w:val="lightGray"/>
        </w:rPr>
        <w:t xml:space="preserve">b) </w:t>
      </w:r>
      <w:r w:rsidRPr="007E7409">
        <w:rPr>
          <w:b/>
          <w:i/>
          <w:sz w:val="18"/>
          <w:szCs w:val="18"/>
          <w:highlight w:val="lightGray"/>
        </w:rPr>
        <w:t>plnit vůči právnickým osobám</w:t>
      </w:r>
      <w:r w:rsidRPr="007E7409">
        <w:rPr>
          <w:i/>
          <w:sz w:val="18"/>
          <w:szCs w:val="18"/>
          <w:highlight w:val="lightGray"/>
        </w:rPr>
        <w:t xml:space="preserve"> a organizačním složkám </w:t>
      </w:r>
      <w:r w:rsidRPr="007E7409">
        <w:rPr>
          <w:b/>
          <w:i/>
          <w:sz w:val="18"/>
          <w:szCs w:val="18"/>
          <w:highlight w:val="lightGray"/>
        </w:rPr>
        <w:t>založeným nebo zřízeným zastupitelstvem obce,</w:t>
      </w:r>
      <w:r w:rsidRPr="007E7409">
        <w:rPr>
          <w:i/>
          <w:sz w:val="18"/>
          <w:szCs w:val="18"/>
          <w:highlight w:val="lightGray"/>
        </w:rPr>
        <w:t xml:space="preserve"> s výjimkou obecní policie, </w:t>
      </w:r>
      <w:r w:rsidRPr="007E7409">
        <w:rPr>
          <w:b/>
          <w:i/>
          <w:sz w:val="18"/>
          <w:szCs w:val="18"/>
          <w:highlight w:val="lightGray"/>
        </w:rPr>
        <w:t>úkoly zakladatele nebo zřizovatele podle zvláštních předpisů,</w:t>
      </w:r>
      <w:r w:rsidRPr="007E7409">
        <w:rPr>
          <w:i/>
          <w:sz w:val="18"/>
          <w:szCs w:val="18"/>
          <w:highlight w:val="lightGray"/>
        </w:rPr>
        <w:t xml:space="preserve"> nejsou-li vyhrazeny zastupitelstvu obce (§ 84 odst. 2),</w:t>
      </w:r>
    </w:p>
    <w:p w:rsidR="00905E20" w:rsidRPr="007E7409" w:rsidRDefault="00905E20" w:rsidP="00905E20">
      <w:pPr>
        <w:widowControl w:val="0"/>
        <w:autoSpaceDE w:val="0"/>
        <w:autoSpaceDN w:val="0"/>
        <w:adjustRightInd w:val="0"/>
        <w:rPr>
          <w:b/>
          <w:i/>
          <w:sz w:val="18"/>
          <w:szCs w:val="18"/>
          <w:highlight w:val="lightGray"/>
        </w:rPr>
      </w:pPr>
      <w:r w:rsidRPr="007E7409">
        <w:rPr>
          <w:b/>
          <w:i/>
          <w:sz w:val="18"/>
          <w:szCs w:val="18"/>
          <w:highlight w:val="lightGray"/>
        </w:rPr>
        <w:t>q) schvalovat účetní závěrku obcí zřízené příspěvkové organizace sestavenou k rozvahovému dni.</w:t>
      </w:r>
    </w:p>
    <w:p w:rsidR="00905E20" w:rsidRPr="007E7409" w:rsidRDefault="00905E20" w:rsidP="00905E20">
      <w:pPr>
        <w:widowControl w:val="0"/>
        <w:autoSpaceDE w:val="0"/>
        <w:autoSpaceDN w:val="0"/>
        <w:adjustRightInd w:val="0"/>
        <w:rPr>
          <w:sz w:val="18"/>
          <w:szCs w:val="18"/>
          <w:highlight w:val="lightGray"/>
        </w:rPr>
      </w:pPr>
      <w:r w:rsidRPr="007E7409">
        <w:rPr>
          <w:sz w:val="18"/>
          <w:szCs w:val="18"/>
          <w:highlight w:val="lightGray"/>
        </w:rPr>
        <w:t>- v § 102, odst. 4, je stanoveno:</w:t>
      </w:r>
    </w:p>
    <w:p w:rsidR="00905E20" w:rsidRPr="007E7409" w:rsidRDefault="00905E20" w:rsidP="00905E20">
      <w:pPr>
        <w:widowControl w:val="0"/>
        <w:autoSpaceDE w:val="0"/>
        <w:autoSpaceDN w:val="0"/>
        <w:adjustRightInd w:val="0"/>
        <w:rPr>
          <w:i/>
          <w:sz w:val="18"/>
          <w:szCs w:val="18"/>
          <w:highlight w:val="lightGray"/>
        </w:rPr>
      </w:pPr>
      <w:r w:rsidRPr="007E7409">
        <w:rPr>
          <w:i/>
          <w:sz w:val="18"/>
          <w:szCs w:val="18"/>
          <w:highlight w:val="lightGray"/>
        </w:rPr>
        <w:t xml:space="preserve">V obcích, kde starosta vykonává pravomoc rady obce (§ 99 odst. 2), </w:t>
      </w:r>
      <w:r w:rsidRPr="007E7409">
        <w:rPr>
          <w:b/>
          <w:i/>
          <w:sz w:val="18"/>
          <w:szCs w:val="18"/>
          <w:highlight w:val="lightGray"/>
        </w:rPr>
        <w:t>je zastupitelstvu obce vyhrazeno též rozhodování ve věcech uvedených v odstavci 2</w:t>
      </w:r>
      <w:r w:rsidRPr="007E7409">
        <w:rPr>
          <w:i/>
          <w:sz w:val="18"/>
          <w:szCs w:val="18"/>
          <w:highlight w:val="lightGray"/>
        </w:rPr>
        <w:t xml:space="preserve"> písm. c), d), f), j), l) a </w:t>
      </w:r>
      <w:r w:rsidRPr="007E7409">
        <w:rPr>
          <w:b/>
          <w:i/>
          <w:sz w:val="18"/>
          <w:szCs w:val="18"/>
          <w:highlight w:val="lightGray"/>
          <w:u w:val="single"/>
        </w:rPr>
        <w:t>q).</w:t>
      </w:r>
    </w:p>
    <w:p w:rsidR="00905E20" w:rsidRPr="007E7409" w:rsidRDefault="00905E20" w:rsidP="00905E20">
      <w:pPr>
        <w:widowControl w:val="0"/>
        <w:autoSpaceDE w:val="0"/>
        <w:autoSpaceDN w:val="0"/>
        <w:adjustRightInd w:val="0"/>
        <w:rPr>
          <w:i/>
          <w:sz w:val="18"/>
          <w:szCs w:val="18"/>
          <w:highlight w:val="lightGray"/>
        </w:rPr>
      </w:pPr>
      <w:r w:rsidRPr="007E7409">
        <w:rPr>
          <w:sz w:val="18"/>
          <w:szCs w:val="18"/>
          <w:highlight w:val="lightGray"/>
        </w:rPr>
        <w:t xml:space="preserve">Nicméně v § 30 zákona č. 250/2000 Sb., o rozpočtových pravidlech územních rozpočtů, je stanoveno, že </w:t>
      </w:r>
      <w:r w:rsidRPr="007E7409">
        <w:rPr>
          <w:i/>
          <w:sz w:val="18"/>
          <w:szCs w:val="18"/>
          <w:highlight w:val="lightGray"/>
        </w:rPr>
        <w:t>"Rozdělení zlepšeného výsledku hospodaření do rezervního fondu a do fondu odměn schvaluje zřizovatel".</w:t>
      </w:r>
    </w:p>
    <w:p w:rsidR="00905E20" w:rsidRPr="007E7409" w:rsidRDefault="00905E20" w:rsidP="00905E20">
      <w:pPr>
        <w:widowControl w:val="0"/>
        <w:autoSpaceDE w:val="0"/>
        <w:autoSpaceDN w:val="0"/>
        <w:adjustRightInd w:val="0"/>
        <w:rPr>
          <w:sz w:val="18"/>
          <w:szCs w:val="18"/>
          <w:highlight w:val="lightGray"/>
        </w:rPr>
      </w:pPr>
      <w:r w:rsidRPr="007E7409">
        <w:rPr>
          <w:sz w:val="18"/>
          <w:szCs w:val="18"/>
          <w:highlight w:val="lightGray"/>
        </w:rPr>
        <w:t xml:space="preserve">Na základě výše citovaných </w:t>
      </w:r>
      <w:r w:rsidRPr="007E7409">
        <w:rPr>
          <w:b/>
          <w:sz w:val="18"/>
          <w:szCs w:val="18"/>
          <w:highlight w:val="lightGray"/>
          <w:u w:val="single"/>
        </w:rPr>
        <w:t>zákonných</w:t>
      </w:r>
      <w:r w:rsidRPr="007E7409">
        <w:rPr>
          <w:sz w:val="18"/>
          <w:szCs w:val="18"/>
          <w:highlight w:val="lightGray"/>
        </w:rPr>
        <w:t xml:space="preserve"> ustanovení tak starosta obce, kde se nevolí rada, vykonává vůči zřízené příspěvkové organizaci úkoly zřizovatele, tj. mimo jiné má schválit rozdělení zlepšeného výsledku hospodaření do rezervního fondu a do fondu odměn. </w:t>
      </w:r>
    </w:p>
    <w:p w:rsidR="00905E20" w:rsidRPr="00905E20" w:rsidRDefault="00905E20" w:rsidP="00905E20">
      <w:pPr>
        <w:widowControl w:val="0"/>
        <w:autoSpaceDE w:val="0"/>
        <w:autoSpaceDN w:val="0"/>
        <w:adjustRightInd w:val="0"/>
        <w:rPr>
          <w:sz w:val="18"/>
          <w:szCs w:val="18"/>
        </w:rPr>
      </w:pPr>
      <w:r w:rsidRPr="007E7409">
        <w:rPr>
          <w:sz w:val="18"/>
          <w:szCs w:val="18"/>
          <w:highlight w:val="lightGray"/>
        </w:rPr>
        <w:t>Nicméně účetní závěrku zřízené příspěvkové organizace bude v případě dané obce schvalovat zastupitelstvo obce, přičemž připomínkovaná vyhláška má stanovit, že schválením účetní závěrky se rozumí též schválení výsledku hospodaření a jeho rozdělení.</w:t>
      </w:r>
    </w:p>
    <w:p w:rsidR="00AC1287" w:rsidRPr="00AC1287" w:rsidRDefault="00AC1287" w:rsidP="00AC1287">
      <w:pPr>
        <w:rPr>
          <w:rFonts w:ascii="Arial" w:hAnsi="Arial" w:cs="Arial"/>
          <w:i/>
        </w:rPr>
      </w:pPr>
      <w:r w:rsidRPr="00AC1287">
        <w:rPr>
          <w:rFonts w:ascii="Arial" w:hAnsi="Arial" w:cs="Arial"/>
          <w:i/>
        </w:rPr>
        <w:t>Reakce MF:</w:t>
      </w:r>
    </w:p>
    <w:p w:rsidR="00AC1287" w:rsidRPr="00AC1287" w:rsidRDefault="00AC1287" w:rsidP="00AC1287">
      <w:pPr>
        <w:rPr>
          <w:rFonts w:ascii="Arial" w:hAnsi="Arial" w:cs="Arial"/>
          <w:b/>
          <w:i/>
          <w:highlight w:val="lightGray"/>
        </w:rPr>
      </w:pPr>
      <w:r w:rsidRPr="00AC1287">
        <w:rPr>
          <w:rFonts w:ascii="Arial" w:hAnsi="Arial" w:cs="Arial"/>
          <w:b/>
          <w:i/>
          <w:highlight w:val="lightGray"/>
        </w:rPr>
        <w:t>Vysvětleno.</w:t>
      </w:r>
    </w:p>
    <w:p w:rsidR="00AC1287" w:rsidRPr="00AC1287" w:rsidRDefault="00AC1287" w:rsidP="00AC1287">
      <w:pPr>
        <w:rPr>
          <w:rFonts w:ascii="Arial" w:hAnsi="Arial" w:cs="Arial"/>
          <w:i/>
          <w:highlight w:val="lightGray"/>
        </w:rPr>
      </w:pPr>
      <w:r w:rsidRPr="00AC1287">
        <w:rPr>
          <w:rFonts w:ascii="Arial" w:hAnsi="Arial" w:cs="Arial"/>
          <w:i/>
          <w:highlight w:val="lightGray"/>
        </w:rPr>
        <w:t xml:space="preserve">Podle § 17 zákona č. 250/2000 Sb. jsou v závěrečném účtu obsaženy takové údaje, aby bylo možno zhodnotit hospodaření územního samosprávného celku nebo svazku obcí a jimi zřízených nebo založených právnických osob. Vámi uváděný zákon č. 250/2000 Sb. neobsahuje žádnou výslovnou úpravu ve vztahu k výsledku hospodaření podle zákona o účetnictví. </w:t>
      </w:r>
    </w:p>
    <w:p w:rsidR="00AC1287" w:rsidRPr="00AC1287" w:rsidRDefault="00AC1287" w:rsidP="00AC1287">
      <w:pPr>
        <w:rPr>
          <w:rFonts w:ascii="Arial" w:hAnsi="Arial" w:cs="Arial"/>
          <w:b/>
          <w:bCs/>
          <w:i/>
          <w:highlight w:val="lightGray"/>
        </w:rPr>
      </w:pPr>
      <w:r w:rsidRPr="00AC1287">
        <w:rPr>
          <w:rFonts w:ascii="Arial" w:hAnsi="Arial" w:cs="Arial"/>
          <w:b/>
          <w:bCs/>
          <w:i/>
          <w:highlight w:val="lightGray"/>
        </w:rPr>
        <w:t>Doplnění vysvětlení k 25. 6. 2013:</w:t>
      </w:r>
    </w:p>
    <w:p w:rsidR="00AC1287" w:rsidRPr="00AC1287" w:rsidRDefault="00AC1287" w:rsidP="00AC1287">
      <w:pPr>
        <w:rPr>
          <w:rFonts w:ascii="Arial" w:hAnsi="Arial" w:cs="Arial"/>
          <w:i/>
          <w:highlight w:val="lightGray"/>
        </w:rPr>
      </w:pPr>
      <w:r w:rsidRPr="00AC1287">
        <w:rPr>
          <w:rFonts w:ascii="Arial" w:hAnsi="Arial" w:cs="Arial"/>
          <w:i/>
          <w:highlight w:val="lightGray"/>
        </w:rPr>
        <w:t>Schválením a rozdělením výsledku hospodaření se rozumí „účetní operace“. Ustanovení rozpočtových právních předpisů tímto nejsou dotčena.</w:t>
      </w:r>
    </w:p>
    <w:p w:rsidR="00AC1287" w:rsidRPr="00AC1287" w:rsidRDefault="00AC1287" w:rsidP="00AC1287">
      <w:pPr>
        <w:rPr>
          <w:rFonts w:ascii="Arial" w:hAnsi="Arial" w:cs="Arial"/>
          <w:i/>
        </w:rPr>
      </w:pPr>
      <w:r w:rsidRPr="00AC1287">
        <w:rPr>
          <w:rFonts w:ascii="Arial" w:hAnsi="Arial" w:cs="Arial"/>
          <w:i/>
          <w:highlight w:val="lightGray"/>
        </w:rPr>
        <w:lastRenderedPageBreak/>
        <w:t>§ 30 zákona č. 250/2000 Sb. hovoří o způsobu tvorby rezervního fondu a současně používá termín „zlepšený výsledek hospodaření“. Tento termín nekoresponduje s účetním termínem výsledek hospodaření, kterým je zisk nebo ztráta. Proto se schválení výsledku hospodaření, jak je uvedeno v navrhované vyhlášce, nedotýká úpravy dané zákonem č. 250/2000 Sb.</w:t>
      </w:r>
      <w:r w:rsidRPr="00AC1287">
        <w:rPr>
          <w:rFonts w:ascii="Arial" w:hAnsi="Arial" w:cs="Arial"/>
          <w:i/>
        </w:rPr>
        <w:t xml:space="preserve">  </w:t>
      </w:r>
    </w:p>
    <w:p w:rsidR="00AC1287" w:rsidRPr="00AC1287" w:rsidRDefault="00AC1287" w:rsidP="00905E20">
      <w:pPr>
        <w:pStyle w:val="Nadpis2"/>
        <w:numPr>
          <w:ilvl w:val="0"/>
          <w:numId w:val="0"/>
        </w:numPr>
        <w:ind w:left="568"/>
        <w:rPr>
          <w:rFonts w:ascii="Arial" w:hAnsi="Arial" w:cs="Arial"/>
          <w:sz w:val="22"/>
          <w:szCs w:val="22"/>
        </w:rPr>
      </w:pPr>
      <w:r w:rsidRPr="00AC1287">
        <w:rPr>
          <w:rFonts w:ascii="Arial" w:hAnsi="Arial" w:cs="Arial"/>
          <w:sz w:val="22"/>
          <w:szCs w:val="22"/>
        </w:rPr>
        <w:t>Dopady postoje MFČR</w:t>
      </w:r>
    </w:p>
    <w:p w:rsidR="00AC1287" w:rsidRPr="00AC1287" w:rsidRDefault="00AC1287" w:rsidP="00AC1287">
      <w:pPr>
        <w:pStyle w:val="n00"/>
        <w:rPr>
          <w:rFonts w:ascii="Arial" w:hAnsi="Arial" w:cs="Arial"/>
          <w:i/>
          <w:sz w:val="22"/>
          <w:szCs w:val="22"/>
        </w:rPr>
      </w:pPr>
      <w:r w:rsidRPr="00AC1287">
        <w:rPr>
          <w:rFonts w:ascii="Arial" w:hAnsi="Arial" w:cs="Arial"/>
          <w:i/>
          <w:sz w:val="22"/>
          <w:szCs w:val="22"/>
        </w:rPr>
        <w:t>Zkusme si rozebrat, co výše uvedeným bylo ze strany MFČR řečeno a co by z toho vyplývalo:</w:t>
      </w:r>
    </w:p>
    <w:p w:rsidR="00AC1287" w:rsidRPr="00AC1287" w:rsidRDefault="00AC1287" w:rsidP="00AC1287">
      <w:pPr>
        <w:pStyle w:val="n00"/>
        <w:numPr>
          <w:ilvl w:val="0"/>
          <w:numId w:val="4"/>
        </w:numPr>
        <w:rPr>
          <w:rFonts w:ascii="Arial" w:hAnsi="Arial" w:cs="Arial"/>
          <w:i/>
          <w:sz w:val="22"/>
          <w:szCs w:val="22"/>
        </w:rPr>
      </w:pPr>
      <w:r w:rsidRPr="00AC1287">
        <w:rPr>
          <w:rFonts w:ascii="Arial" w:hAnsi="Arial" w:cs="Arial"/>
          <w:i/>
          <w:sz w:val="22"/>
          <w:szCs w:val="22"/>
        </w:rPr>
        <w:t xml:space="preserve">účetní výsledek hospodaření (tedy účetní zisk nebo ztráta) je něco jiného než zlepšený výsledek hospodaření – musíme logicky předpokládat, že se tedy jedná </w:t>
      </w:r>
      <w:r w:rsidRPr="00AC1287">
        <w:rPr>
          <w:rFonts w:ascii="Arial" w:hAnsi="Arial" w:cs="Arial"/>
          <w:b/>
          <w:i/>
          <w:sz w:val="22"/>
          <w:szCs w:val="22"/>
          <w:u w:val="single"/>
        </w:rPr>
        <w:t>i o jiné číslo</w:t>
      </w:r>
    </w:p>
    <w:p w:rsidR="00AC1287" w:rsidRPr="00AC1287" w:rsidRDefault="00AC1287" w:rsidP="00AC1287">
      <w:pPr>
        <w:pStyle w:val="n00"/>
        <w:numPr>
          <w:ilvl w:val="0"/>
          <w:numId w:val="4"/>
        </w:numPr>
        <w:rPr>
          <w:rFonts w:ascii="Arial" w:hAnsi="Arial" w:cs="Arial"/>
          <w:i/>
          <w:sz w:val="22"/>
          <w:szCs w:val="22"/>
        </w:rPr>
      </w:pPr>
      <w:r w:rsidRPr="00AC1287">
        <w:rPr>
          <w:rFonts w:ascii="Arial" w:hAnsi="Arial" w:cs="Arial"/>
          <w:i/>
          <w:sz w:val="22"/>
          <w:szCs w:val="22"/>
        </w:rPr>
        <w:t xml:space="preserve">pokud se jedná o jiné číslo, je nezbytné z hlediska </w:t>
      </w:r>
      <w:r w:rsidRPr="00AC1287">
        <w:rPr>
          <w:rFonts w:ascii="Arial" w:hAnsi="Arial" w:cs="Arial"/>
          <w:b/>
          <w:i/>
          <w:sz w:val="22"/>
          <w:szCs w:val="22"/>
          <w:u w:val="single"/>
        </w:rPr>
        <w:t>schvalovacích procesů</w:t>
      </w:r>
      <w:r w:rsidRPr="00AC1287">
        <w:rPr>
          <w:rFonts w:ascii="Arial" w:hAnsi="Arial" w:cs="Arial"/>
          <w:i/>
          <w:sz w:val="22"/>
          <w:szCs w:val="22"/>
        </w:rPr>
        <w:t xml:space="preserve"> učinit </w:t>
      </w:r>
      <w:r w:rsidRPr="00AC1287">
        <w:rPr>
          <w:rFonts w:ascii="Arial" w:hAnsi="Arial" w:cs="Arial"/>
          <w:b/>
          <w:i/>
          <w:sz w:val="22"/>
          <w:szCs w:val="22"/>
          <w:u w:val="single"/>
        </w:rPr>
        <w:t>dva oddělené kroky</w:t>
      </w:r>
      <w:r w:rsidRPr="00AC1287">
        <w:rPr>
          <w:rFonts w:ascii="Arial" w:hAnsi="Arial" w:cs="Arial"/>
          <w:i/>
          <w:sz w:val="22"/>
          <w:szCs w:val="22"/>
        </w:rPr>
        <w:t xml:space="preserve"> – předmětem schvalování a případného rozdělování budou dvě na sobě (možná) nezávislé veličiny (potřebujeme tedy mít dvě usnesení …)</w:t>
      </w:r>
    </w:p>
    <w:p w:rsidR="00AC1287" w:rsidRPr="00AC1287" w:rsidRDefault="00AC1287" w:rsidP="00AC1287">
      <w:pPr>
        <w:pStyle w:val="n00"/>
        <w:numPr>
          <w:ilvl w:val="0"/>
          <w:numId w:val="4"/>
        </w:numPr>
        <w:rPr>
          <w:rFonts w:ascii="Arial" w:hAnsi="Arial" w:cs="Arial"/>
          <w:i/>
          <w:sz w:val="22"/>
          <w:szCs w:val="22"/>
        </w:rPr>
      </w:pPr>
      <w:r w:rsidRPr="00AC1287">
        <w:rPr>
          <w:rFonts w:ascii="Arial" w:hAnsi="Arial" w:cs="Arial"/>
          <w:i/>
          <w:sz w:val="22"/>
          <w:szCs w:val="22"/>
        </w:rPr>
        <w:t xml:space="preserve">jako krajně problémová záležitost se může ve světle této interpretace jevit právní úprava ČÚS 704, která počítá s naplňováním fondů z hospodářského výsledku (viz body </w:t>
      </w:r>
      <w:proofErr w:type="gramStart"/>
      <w:r w:rsidRPr="00AC1287">
        <w:rPr>
          <w:rFonts w:ascii="Arial" w:hAnsi="Arial" w:cs="Arial"/>
          <w:i/>
          <w:sz w:val="22"/>
          <w:szCs w:val="22"/>
        </w:rPr>
        <w:t>4.1., 6.3.1</w:t>
      </w:r>
      <w:proofErr w:type="gramEnd"/>
      <w:r w:rsidRPr="00AC1287">
        <w:rPr>
          <w:rFonts w:ascii="Arial" w:hAnsi="Arial" w:cs="Arial"/>
          <w:i/>
          <w:sz w:val="22"/>
          <w:szCs w:val="22"/>
        </w:rPr>
        <w:t xml:space="preserve">. …) </w:t>
      </w:r>
    </w:p>
    <w:p w:rsidR="00AC1287" w:rsidRPr="00AC1287" w:rsidRDefault="00AC1287" w:rsidP="00AC1287">
      <w:pPr>
        <w:pStyle w:val="n00"/>
        <w:numPr>
          <w:ilvl w:val="0"/>
          <w:numId w:val="4"/>
        </w:numPr>
        <w:rPr>
          <w:rFonts w:ascii="Arial" w:hAnsi="Arial" w:cs="Arial"/>
          <w:i/>
          <w:sz w:val="22"/>
          <w:szCs w:val="22"/>
        </w:rPr>
      </w:pPr>
      <w:r w:rsidRPr="00AC1287">
        <w:rPr>
          <w:rFonts w:ascii="Arial" w:hAnsi="Arial" w:cs="Arial"/>
          <w:i/>
          <w:sz w:val="22"/>
          <w:szCs w:val="22"/>
        </w:rPr>
        <w:t xml:space="preserve">zatímco účetní výsledek hospodaření je jasně definován a to v rámci struktury Výkazu zisku a ztráty (při celkem jasné definici nákladů a výnosů), tak „zlepšený hospodářský výsledek“ svou definici postrádá. Nicméně pokud uvažujeme, co by to asi tak mohlo být, tak pokud budeme o fondech uvažovat jako o volných finančních prostředcích, mělo by se jednat o </w:t>
      </w:r>
      <w:r w:rsidRPr="00AC1287">
        <w:rPr>
          <w:rFonts w:ascii="Arial" w:hAnsi="Arial" w:cs="Arial"/>
          <w:b/>
          <w:i/>
          <w:sz w:val="22"/>
          <w:szCs w:val="22"/>
          <w:u w:val="single"/>
        </w:rPr>
        <w:t>„volné peněžní prostředky vygenerované v daném roce“</w:t>
      </w:r>
      <w:r w:rsidRPr="00AC1287">
        <w:rPr>
          <w:rFonts w:ascii="Arial" w:hAnsi="Arial" w:cs="Arial"/>
          <w:b/>
          <w:i/>
          <w:sz w:val="22"/>
          <w:szCs w:val="22"/>
        </w:rPr>
        <w:t>.</w:t>
      </w:r>
      <w:r w:rsidRPr="00AC1287">
        <w:rPr>
          <w:rFonts w:ascii="Arial" w:hAnsi="Arial" w:cs="Arial"/>
          <w:i/>
          <w:sz w:val="22"/>
          <w:szCs w:val="22"/>
        </w:rPr>
        <w:t xml:space="preserve"> Přitom zdůrazňujeme – toto je naše fabulace – v žádném předpise není uvedeno, co to „zlepšený hospodářský výsledek je“, natož „jak by se měl počítat“. Je to sice trochu tristní závěr v situaci, když do fondů přidělujeme již řadu let a nyní zjišťujeme, že vlastně nevíme, co by do fondů přidělováno být mělo (a to nemluvím o neustálých diskusích, co v této oblasti je porušením rozpočtové kázně a co ne … - což v zásadě s touto problematikou také velice úzce souvisí) – nicméně to by již byla kniha o jednom Městě, kde stavěli radnici bez oken a to město začíná na K ….    </w:t>
      </w:r>
    </w:p>
    <w:p w:rsidR="00AC1287" w:rsidRPr="00AC1287" w:rsidRDefault="00AC1287" w:rsidP="00AC1287">
      <w:pPr>
        <w:pStyle w:val="n00"/>
        <w:rPr>
          <w:rFonts w:ascii="Arial" w:hAnsi="Arial" w:cs="Arial"/>
          <w:i/>
          <w:sz w:val="22"/>
          <w:szCs w:val="22"/>
        </w:rPr>
      </w:pPr>
    </w:p>
    <w:p w:rsidR="00AC1287" w:rsidRPr="00AC1287" w:rsidRDefault="00AC1287" w:rsidP="00AC1287">
      <w:pPr>
        <w:pStyle w:val="n00"/>
        <w:rPr>
          <w:rFonts w:ascii="Arial" w:hAnsi="Arial" w:cs="Arial"/>
          <w:i/>
          <w:sz w:val="22"/>
          <w:szCs w:val="22"/>
        </w:rPr>
      </w:pPr>
      <w:r w:rsidRPr="00AC1287">
        <w:rPr>
          <w:rFonts w:ascii="Arial" w:hAnsi="Arial" w:cs="Arial"/>
          <w:i/>
          <w:sz w:val="22"/>
          <w:szCs w:val="22"/>
        </w:rPr>
        <w:t xml:space="preserve">Za těchto okolností se tedy z hlediska procesu stanovování a schvalování rozdělení výše uvedených veličin objevují </w:t>
      </w:r>
      <w:r w:rsidRPr="00AC1287">
        <w:rPr>
          <w:rFonts w:ascii="Arial" w:hAnsi="Arial" w:cs="Arial"/>
          <w:b/>
          <w:i/>
          <w:sz w:val="22"/>
          <w:szCs w:val="22"/>
          <w:u w:val="single"/>
        </w:rPr>
        <w:t>dvě možné varianty</w:t>
      </w:r>
      <w:r w:rsidRPr="00AC1287">
        <w:rPr>
          <w:rFonts w:ascii="Arial" w:hAnsi="Arial" w:cs="Arial"/>
          <w:i/>
          <w:sz w:val="22"/>
          <w:szCs w:val="22"/>
        </w:rPr>
        <w:t>:</w:t>
      </w:r>
    </w:p>
    <w:p w:rsidR="00AC1287" w:rsidRPr="00AC1287" w:rsidRDefault="00AC1287" w:rsidP="00AC1287">
      <w:pPr>
        <w:pStyle w:val="n00"/>
        <w:numPr>
          <w:ilvl w:val="0"/>
          <w:numId w:val="5"/>
        </w:numPr>
        <w:rPr>
          <w:rFonts w:ascii="Arial" w:hAnsi="Arial" w:cs="Arial"/>
          <w:i/>
          <w:sz w:val="22"/>
          <w:szCs w:val="22"/>
          <w:u w:val="single"/>
        </w:rPr>
      </w:pPr>
      <w:r w:rsidRPr="00AC1287">
        <w:rPr>
          <w:rFonts w:ascii="Arial" w:hAnsi="Arial" w:cs="Arial"/>
          <w:i/>
          <w:sz w:val="22"/>
          <w:szCs w:val="22"/>
          <w:u w:val="single"/>
        </w:rPr>
        <w:t>VARIANTA 1 – tradiční</w:t>
      </w:r>
      <w:r w:rsidRPr="00AC1287">
        <w:rPr>
          <w:rFonts w:ascii="Arial" w:hAnsi="Arial" w:cs="Arial"/>
          <w:i/>
          <w:sz w:val="22"/>
          <w:szCs w:val="22"/>
        </w:rPr>
        <w:t xml:space="preserve"> (a troufáme si říci - nyní jasně dominující) – na výše uvedený postoj MFČR nebude brán zřetel, položí se rovnítko mezi účetním výsledkem hospodaření a zlepšeným výsledkem hospodaření. </w:t>
      </w:r>
      <w:r w:rsidRPr="00AC1287">
        <w:rPr>
          <w:rFonts w:ascii="Arial" w:hAnsi="Arial" w:cs="Arial"/>
          <w:b/>
          <w:i/>
          <w:sz w:val="22"/>
          <w:szCs w:val="22"/>
          <w:u w:val="single"/>
        </w:rPr>
        <w:t>Potom v rámci schvalování účetní závěrky schválíme i účetní hospodářský výsledek a ten rozdělíme do fondů. Co je však důležité – za těchto okolností nemůžeme požadovat finanční krytí fondů</w:t>
      </w:r>
      <w:r w:rsidRPr="00AC1287">
        <w:rPr>
          <w:rFonts w:ascii="Arial" w:hAnsi="Arial" w:cs="Arial"/>
          <w:i/>
          <w:sz w:val="22"/>
          <w:szCs w:val="22"/>
          <w:u w:val="single"/>
        </w:rPr>
        <w:t xml:space="preserve"> (respektive tento požadavek je spojen s logickou chybou, jak je dokumentováno hned na úvodních příkladech)</w:t>
      </w:r>
    </w:p>
    <w:p w:rsidR="00AC1287" w:rsidRPr="00AC1287" w:rsidRDefault="00AC1287" w:rsidP="00AC1287">
      <w:pPr>
        <w:pStyle w:val="n00"/>
        <w:rPr>
          <w:rFonts w:ascii="Arial" w:hAnsi="Arial" w:cs="Arial"/>
          <w:i/>
          <w:sz w:val="22"/>
          <w:szCs w:val="22"/>
        </w:rPr>
      </w:pPr>
    </w:p>
    <w:p w:rsidR="00AC1287" w:rsidRPr="00AC1287" w:rsidRDefault="00AC1287" w:rsidP="00AC1287">
      <w:pPr>
        <w:pStyle w:val="n00"/>
        <w:numPr>
          <w:ilvl w:val="0"/>
          <w:numId w:val="5"/>
        </w:numPr>
        <w:rPr>
          <w:rFonts w:ascii="Arial" w:hAnsi="Arial" w:cs="Arial"/>
          <w:i/>
          <w:sz w:val="22"/>
          <w:szCs w:val="22"/>
        </w:rPr>
      </w:pPr>
      <w:r w:rsidRPr="00AC1287">
        <w:rPr>
          <w:rFonts w:ascii="Arial" w:hAnsi="Arial" w:cs="Arial"/>
          <w:i/>
          <w:sz w:val="22"/>
          <w:szCs w:val="22"/>
          <w:u w:val="single"/>
        </w:rPr>
        <w:t>VARIANTA 2 – zlepšený hospodářský výsledek bude považován za jinou kategorii</w:t>
      </w:r>
      <w:r w:rsidRPr="00AC1287">
        <w:rPr>
          <w:rFonts w:ascii="Arial" w:hAnsi="Arial" w:cs="Arial"/>
          <w:i/>
          <w:sz w:val="22"/>
          <w:szCs w:val="22"/>
        </w:rPr>
        <w:t xml:space="preserve"> – pokud budeme chtít považovat fondy za „kupičky peněžních prostředků“, bude se jednat o vygenerované volné peněžní prostředky v daném roce (a čeká nás nalezení algoritmu, jak tyto volné peněžní prostředky stanovit</w:t>
      </w:r>
      <w:r w:rsidRPr="00AC1287">
        <w:rPr>
          <w:rFonts w:ascii="Arial" w:hAnsi="Arial" w:cs="Arial"/>
          <w:b/>
          <w:i/>
          <w:sz w:val="22"/>
          <w:szCs w:val="22"/>
          <w:u w:val="single"/>
        </w:rPr>
        <w:t>). V rámci schvalovacích procesů proběhne jednak schválení účetní závěrky a spolu s tím dojde ke schválení hospodářského výsledku</w:t>
      </w:r>
      <w:r w:rsidRPr="00AC1287">
        <w:rPr>
          <w:rFonts w:ascii="Arial" w:hAnsi="Arial" w:cs="Arial"/>
          <w:i/>
          <w:sz w:val="22"/>
          <w:szCs w:val="22"/>
        </w:rPr>
        <w:t xml:space="preserve"> (zaúčtování rozdělení účetního hospodářského </w:t>
      </w:r>
      <w:proofErr w:type="gramStart"/>
      <w:r w:rsidRPr="00AC1287">
        <w:rPr>
          <w:rFonts w:ascii="Arial" w:hAnsi="Arial" w:cs="Arial"/>
          <w:i/>
          <w:sz w:val="22"/>
          <w:szCs w:val="22"/>
        </w:rPr>
        <w:t>výsledku  by</w:t>
      </w:r>
      <w:proofErr w:type="gramEnd"/>
      <w:r w:rsidRPr="00AC1287">
        <w:rPr>
          <w:rFonts w:ascii="Arial" w:hAnsi="Arial" w:cs="Arial"/>
          <w:i/>
          <w:sz w:val="22"/>
          <w:szCs w:val="22"/>
        </w:rPr>
        <w:t xml:space="preserve"> muselo být na nerozdělený zisk …). </w:t>
      </w:r>
      <w:r w:rsidRPr="00AC1287">
        <w:rPr>
          <w:rFonts w:ascii="Arial" w:hAnsi="Arial" w:cs="Arial"/>
          <w:b/>
          <w:i/>
          <w:sz w:val="22"/>
          <w:szCs w:val="22"/>
          <w:u w:val="single"/>
        </w:rPr>
        <w:t xml:space="preserve">Dále dojde ke schválení zlepšeného výsledku hospodaření (to bude v 99,9% případů jiné číslo než účetní výsledek hospodaření) a tento zlepšený výsledek hospodaření bude </w:t>
      </w:r>
      <w:r w:rsidRPr="00AC1287">
        <w:rPr>
          <w:rFonts w:ascii="Arial" w:hAnsi="Arial" w:cs="Arial"/>
          <w:b/>
          <w:i/>
          <w:sz w:val="22"/>
          <w:szCs w:val="22"/>
          <w:u w:val="single"/>
        </w:rPr>
        <w:lastRenderedPageBreak/>
        <w:t>přidělen do fondů</w:t>
      </w:r>
      <w:r w:rsidRPr="00AC1287">
        <w:rPr>
          <w:rFonts w:ascii="Arial" w:hAnsi="Arial" w:cs="Arial"/>
          <w:i/>
          <w:sz w:val="22"/>
          <w:szCs w:val="22"/>
        </w:rPr>
        <w:t xml:space="preserve"> (z toho také vyplývá, že část zisku bude potenciálně ponechána na nerozděleném zisku minulých let). Odměnou nám může být to, že padne jedna ze zásadních překážek znemožňující chápání fondů jako volných peněžních prostředků.</w:t>
      </w:r>
    </w:p>
    <w:p w:rsidR="00AC1287" w:rsidRPr="00AC1287" w:rsidRDefault="00AC1287" w:rsidP="00AC1287">
      <w:pPr>
        <w:pStyle w:val="n00"/>
        <w:ind w:left="720"/>
        <w:rPr>
          <w:rFonts w:ascii="Arial" w:hAnsi="Arial" w:cs="Arial"/>
          <w:i/>
          <w:sz w:val="22"/>
          <w:szCs w:val="22"/>
        </w:rPr>
      </w:pPr>
      <w:r w:rsidRPr="00AC1287">
        <w:rPr>
          <w:rFonts w:ascii="Arial" w:hAnsi="Arial" w:cs="Arial"/>
          <w:i/>
          <w:sz w:val="22"/>
          <w:szCs w:val="22"/>
        </w:rPr>
        <w:t>Ve vztahu ke skutečnosti, že daná veličina není nijak definována, je tato cesta krajním dobrodružstvím (což se asi zastupitelům či radním dosti složitě vysvětluje) a proto jsem přesvědčen, že tato cesta zatím nebude používána.</w:t>
      </w:r>
    </w:p>
    <w:p w:rsidR="00AC1287" w:rsidRPr="00AC1287" w:rsidRDefault="00AC1287" w:rsidP="00AC1287">
      <w:pPr>
        <w:pStyle w:val="n00"/>
        <w:pBdr>
          <w:top w:val="single" w:sz="4" w:space="1" w:color="auto"/>
          <w:left w:val="single" w:sz="4" w:space="4" w:color="auto"/>
          <w:bottom w:val="single" w:sz="4" w:space="1" w:color="auto"/>
          <w:right w:val="single" w:sz="4" w:space="4" w:color="auto"/>
        </w:pBdr>
        <w:rPr>
          <w:rFonts w:ascii="Arial" w:hAnsi="Arial" w:cs="Arial"/>
          <w:b/>
          <w:i/>
          <w:sz w:val="22"/>
          <w:szCs w:val="22"/>
        </w:rPr>
      </w:pPr>
      <w:r w:rsidRPr="00AC1287">
        <w:rPr>
          <w:rFonts w:ascii="Arial" w:hAnsi="Arial" w:cs="Arial"/>
          <w:b/>
          <w:i/>
          <w:sz w:val="22"/>
          <w:szCs w:val="22"/>
        </w:rPr>
        <w:t xml:space="preserve">Doporučujeme všem zřizovatelům dohodnout v rámci svých zřízených příspěvkových organizací, jaký bude postup – vyberte variantu 1 nebo variantu 2 – nicméně přijměte důsledky, které tyto varianty mají. Nemůžete zároveň přijmout variantu 1 a zároveň chtít peněžní krytí fondů – to je logický non - </w:t>
      </w:r>
      <w:proofErr w:type="spellStart"/>
      <w:r w:rsidRPr="00AC1287">
        <w:rPr>
          <w:rFonts w:ascii="Arial" w:hAnsi="Arial" w:cs="Arial"/>
          <w:b/>
          <w:i/>
          <w:sz w:val="22"/>
          <w:szCs w:val="22"/>
        </w:rPr>
        <w:t>sense</w:t>
      </w:r>
      <w:proofErr w:type="spellEnd"/>
      <w:r w:rsidRPr="00AC1287">
        <w:rPr>
          <w:rFonts w:ascii="Arial" w:hAnsi="Arial" w:cs="Arial"/>
          <w:b/>
          <w:i/>
          <w:sz w:val="22"/>
          <w:szCs w:val="22"/>
        </w:rPr>
        <w:t xml:space="preserve">. Přijetí rozhodnutí v této záležitosti považujeme za jedno z vůbec nejzásadnějších rozhodnutí v oblasti finančního řízení příspěvkových organizací.  </w:t>
      </w:r>
    </w:p>
    <w:p w:rsidR="007316FA" w:rsidRDefault="007316FA" w:rsidP="007316FA">
      <w:pPr>
        <w:spacing w:after="0"/>
        <w:rPr>
          <w:rFonts w:ascii="Arial" w:hAnsi="Arial" w:cs="Arial"/>
        </w:rPr>
      </w:pPr>
    </w:p>
    <w:p w:rsidR="00905E20" w:rsidRDefault="00905E20" w:rsidP="00AC1287">
      <w:pPr>
        <w:spacing w:after="0"/>
        <w:rPr>
          <w:rFonts w:ascii="Arial" w:hAnsi="Arial" w:cs="Arial"/>
        </w:rPr>
      </w:pPr>
    </w:p>
    <w:p w:rsidR="00AC1287" w:rsidRDefault="00AC1287" w:rsidP="00905E20">
      <w:pPr>
        <w:spacing w:after="0"/>
        <w:jc w:val="both"/>
        <w:rPr>
          <w:rFonts w:ascii="Arial" w:hAnsi="Arial" w:cs="Arial"/>
        </w:rPr>
      </w:pPr>
      <w:r>
        <w:rPr>
          <w:rFonts w:ascii="Arial" w:hAnsi="Arial" w:cs="Arial"/>
        </w:rPr>
        <w:t>V současné době je situace stále nejasná a dle sdělení Ing. Nejezchleba to vypadá následovně:</w:t>
      </w:r>
    </w:p>
    <w:p w:rsidR="001F6E63" w:rsidRDefault="00CC2221" w:rsidP="00AC1287">
      <w:pPr>
        <w:spacing w:after="0"/>
        <w:rPr>
          <w:rFonts w:ascii="Arial" w:hAnsi="Arial" w:cs="Arial"/>
          <w:i/>
          <w:color w:val="373737"/>
        </w:rPr>
      </w:pPr>
      <w:r w:rsidRPr="00AC1287">
        <w:rPr>
          <w:rFonts w:ascii="Arial" w:hAnsi="Arial" w:cs="Arial"/>
          <w:i/>
          <w:color w:val="373737"/>
        </w:rPr>
        <w:t>zatím je stav takový, že část republiky účtuje MD 551/Dal 08x celé odpisy, MD 403/Dal 672 rozpuštění transferu transferovým podílem a MD 401/Dal 416 jen na úrovni rozdílu 551 a 672 (podle mne je to nejsprávnější varianta), jsou kraje, které 401/416 dělají v celé výši odpisů a potom jdou do nekrytého fondu a dále některé kraje zase účtují 403/401.</w:t>
      </w:r>
    </w:p>
    <w:p w:rsidR="002C0F82" w:rsidRDefault="002C0F82" w:rsidP="00AC1287">
      <w:pPr>
        <w:spacing w:after="0"/>
        <w:rPr>
          <w:rFonts w:ascii="Arial" w:hAnsi="Arial" w:cs="Arial"/>
          <w:i/>
          <w:color w:val="373737"/>
        </w:rPr>
      </w:pPr>
    </w:p>
    <w:p w:rsidR="008914ED" w:rsidRDefault="008914ED" w:rsidP="00AC1287">
      <w:pPr>
        <w:spacing w:after="0"/>
        <w:rPr>
          <w:rFonts w:ascii="Arial" w:hAnsi="Arial" w:cs="Arial"/>
          <w:color w:val="373737"/>
        </w:rPr>
      </w:pPr>
      <w:r>
        <w:rPr>
          <w:rFonts w:ascii="Arial" w:hAnsi="Arial" w:cs="Arial"/>
          <w:color w:val="373737"/>
        </w:rPr>
        <w:t xml:space="preserve">Odbor finanční a rozpočtový oslovil s dotazem i novou auditorskou firmu HZ Brno, </w:t>
      </w:r>
      <w:proofErr w:type="spellStart"/>
      <w:r>
        <w:rPr>
          <w:rFonts w:ascii="Arial" w:hAnsi="Arial" w:cs="Arial"/>
          <w:color w:val="373737"/>
        </w:rPr>
        <w:t>a.s.r.o</w:t>
      </w:r>
      <w:proofErr w:type="spellEnd"/>
      <w:r>
        <w:rPr>
          <w:rFonts w:ascii="Arial" w:hAnsi="Arial" w:cs="Arial"/>
          <w:color w:val="373737"/>
        </w:rPr>
        <w:t>., která bude provádět přezkum hospodaření</w:t>
      </w:r>
      <w:r w:rsidR="006B0CA6">
        <w:rPr>
          <w:rFonts w:ascii="Arial" w:hAnsi="Arial" w:cs="Arial"/>
          <w:color w:val="373737"/>
        </w:rPr>
        <w:t xml:space="preserve"> od roku 2015. Z navržených dvou variant se zástupce firmy Ing. </w:t>
      </w:r>
      <w:proofErr w:type="spellStart"/>
      <w:r w:rsidR="006B0CA6">
        <w:rPr>
          <w:rFonts w:ascii="Arial" w:hAnsi="Arial" w:cs="Arial"/>
          <w:color w:val="373737"/>
        </w:rPr>
        <w:t>Řeřucha</w:t>
      </w:r>
      <w:proofErr w:type="spellEnd"/>
      <w:r w:rsidR="006B0CA6">
        <w:rPr>
          <w:rFonts w:ascii="Arial" w:hAnsi="Arial" w:cs="Arial"/>
          <w:color w:val="373737"/>
        </w:rPr>
        <w:t xml:space="preserve"> přiklání k variantě nechat zmiňovaný HV na </w:t>
      </w:r>
      <w:proofErr w:type="gramStart"/>
      <w:r w:rsidR="006B0CA6">
        <w:rPr>
          <w:rFonts w:ascii="Arial" w:hAnsi="Arial" w:cs="Arial"/>
          <w:color w:val="373737"/>
        </w:rPr>
        <w:t xml:space="preserve">účtu  </w:t>
      </w:r>
      <w:r w:rsidR="006B0CA6">
        <w:rPr>
          <w:rFonts w:ascii="Arial" w:hAnsi="Arial" w:cs="Arial"/>
          <w:color w:val="373737"/>
        </w:rPr>
        <w:t>432</w:t>
      </w:r>
      <w:proofErr w:type="gramEnd"/>
      <w:r w:rsidR="006B0CA6">
        <w:rPr>
          <w:rFonts w:ascii="Arial" w:hAnsi="Arial" w:cs="Arial"/>
          <w:color w:val="373737"/>
        </w:rPr>
        <w:t xml:space="preserve"> „Výsledek hospodaření minulých účetních období“</w:t>
      </w:r>
      <w:r w:rsidR="006B0CA6">
        <w:rPr>
          <w:rFonts w:ascii="Arial" w:hAnsi="Arial" w:cs="Arial"/>
          <w:color w:val="373737"/>
        </w:rPr>
        <w:t>.</w:t>
      </w:r>
    </w:p>
    <w:p w:rsidR="008914ED" w:rsidRDefault="008914ED" w:rsidP="00AC1287">
      <w:pPr>
        <w:spacing w:after="0"/>
        <w:rPr>
          <w:rFonts w:ascii="Arial" w:hAnsi="Arial" w:cs="Arial"/>
          <w:color w:val="373737"/>
        </w:rPr>
      </w:pPr>
    </w:p>
    <w:p w:rsidR="008914ED" w:rsidRDefault="008914ED" w:rsidP="00AC1287">
      <w:pPr>
        <w:spacing w:after="0"/>
        <w:rPr>
          <w:rFonts w:ascii="Arial" w:hAnsi="Arial" w:cs="Arial"/>
          <w:color w:val="373737"/>
        </w:rPr>
      </w:pPr>
      <w:r w:rsidRPr="006B0CA6">
        <w:rPr>
          <w:rFonts w:ascii="Arial" w:hAnsi="Arial" w:cs="Arial"/>
          <w:b/>
          <w:color w:val="373737"/>
        </w:rPr>
        <w:t xml:space="preserve">Odbor finanční a rozpočtový se </w:t>
      </w:r>
      <w:r w:rsidR="006B0CA6" w:rsidRPr="006B0CA6">
        <w:rPr>
          <w:rFonts w:ascii="Arial" w:hAnsi="Arial" w:cs="Arial"/>
          <w:b/>
          <w:color w:val="373737"/>
        </w:rPr>
        <w:t xml:space="preserve">rovněž </w:t>
      </w:r>
      <w:r w:rsidRPr="006B0CA6">
        <w:rPr>
          <w:rFonts w:ascii="Arial" w:hAnsi="Arial" w:cs="Arial"/>
          <w:b/>
          <w:color w:val="373737"/>
        </w:rPr>
        <w:t>přiklání k variantě A,</w:t>
      </w:r>
      <w:r>
        <w:rPr>
          <w:rFonts w:ascii="Arial" w:hAnsi="Arial" w:cs="Arial"/>
          <w:color w:val="373737"/>
        </w:rPr>
        <w:t xml:space="preserve"> tedy tu část hospodářs</w:t>
      </w:r>
      <w:bookmarkStart w:id="0" w:name="_GoBack"/>
      <w:r>
        <w:rPr>
          <w:rFonts w:ascii="Arial" w:hAnsi="Arial" w:cs="Arial"/>
          <w:color w:val="373737"/>
        </w:rPr>
        <w:t>k</w:t>
      </w:r>
      <w:bookmarkEnd w:id="0"/>
      <w:r>
        <w:rPr>
          <w:rFonts w:ascii="Arial" w:hAnsi="Arial" w:cs="Arial"/>
          <w:color w:val="373737"/>
        </w:rPr>
        <w:t>ého výsledku, vzniklou zaúčtováním „Rozpouštění“ transferů do výnosů účtovat se speciální analytikou a nechat zaúčtovanou na účtu 432 „Výsledek hospodaření minulých účetních období“</w:t>
      </w:r>
    </w:p>
    <w:p w:rsidR="008914ED" w:rsidRDefault="008914ED" w:rsidP="00AC1287">
      <w:pPr>
        <w:spacing w:after="0"/>
        <w:rPr>
          <w:rFonts w:ascii="Arial" w:hAnsi="Arial" w:cs="Arial"/>
          <w:color w:val="373737"/>
        </w:rPr>
      </w:pPr>
    </w:p>
    <w:p w:rsidR="008914ED" w:rsidRDefault="002C0F82" w:rsidP="00AC1287">
      <w:pPr>
        <w:spacing w:after="0"/>
        <w:rPr>
          <w:rFonts w:ascii="Arial" w:hAnsi="Arial" w:cs="Arial"/>
          <w:color w:val="373737"/>
        </w:rPr>
      </w:pPr>
      <w:r>
        <w:rPr>
          <w:rFonts w:ascii="Arial" w:hAnsi="Arial" w:cs="Arial"/>
          <w:color w:val="373737"/>
        </w:rPr>
        <w:t>Je tedy na rozhodnutí RMO, zda rozdělení hospodářského</w:t>
      </w:r>
      <w:r w:rsidR="008914ED">
        <w:rPr>
          <w:rFonts w:ascii="Arial" w:hAnsi="Arial" w:cs="Arial"/>
          <w:color w:val="373737"/>
        </w:rPr>
        <w:t xml:space="preserve"> výsledku schválí dle varianty A</w:t>
      </w:r>
      <w:r>
        <w:rPr>
          <w:rFonts w:ascii="Arial" w:hAnsi="Arial" w:cs="Arial"/>
          <w:color w:val="373737"/>
        </w:rPr>
        <w:t xml:space="preserve">) – </w:t>
      </w:r>
    </w:p>
    <w:p w:rsidR="008914ED" w:rsidRPr="002C0F82" w:rsidRDefault="008914ED" w:rsidP="008914ED">
      <w:pPr>
        <w:spacing w:after="0"/>
        <w:rPr>
          <w:rFonts w:ascii="Arial" w:hAnsi="Arial" w:cs="Arial"/>
        </w:rPr>
      </w:pPr>
      <w:r>
        <w:rPr>
          <w:rFonts w:ascii="Arial" w:hAnsi="Arial" w:cs="Arial"/>
          <w:color w:val="373737"/>
        </w:rPr>
        <w:t>kdy HV ve výši rozpouštěných transferů zůstane na účtu Výsledek hospodaření minulých účetních období</w:t>
      </w:r>
      <w:r w:rsidRPr="008914ED">
        <w:rPr>
          <w:rFonts w:ascii="Arial" w:hAnsi="Arial" w:cs="Arial"/>
          <w:color w:val="373737"/>
        </w:rPr>
        <w:t xml:space="preserve"> </w:t>
      </w:r>
      <w:r>
        <w:rPr>
          <w:rFonts w:ascii="Arial" w:hAnsi="Arial" w:cs="Arial"/>
          <w:color w:val="373737"/>
        </w:rPr>
        <w:t>nebo dle varianty B),</w:t>
      </w:r>
      <w:r w:rsidRPr="008914ED">
        <w:rPr>
          <w:rFonts w:ascii="Arial" w:hAnsi="Arial" w:cs="Arial"/>
          <w:color w:val="373737"/>
        </w:rPr>
        <w:t xml:space="preserve"> </w:t>
      </w:r>
      <w:r>
        <w:rPr>
          <w:rFonts w:ascii="Arial" w:hAnsi="Arial" w:cs="Arial"/>
          <w:color w:val="373737"/>
        </w:rPr>
        <w:t xml:space="preserve">převedení celého HV do fondů, ale bez finančního krytí. </w:t>
      </w:r>
    </w:p>
    <w:p w:rsidR="008914ED" w:rsidRDefault="008914ED" w:rsidP="00AC1287">
      <w:pPr>
        <w:spacing w:after="0"/>
        <w:rPr>
          <w:rFonts w:ascii="Arial" w:hAnsi="Arial" w:cs="Arial"/>
          <w:color w:val="373737"/>
        </w:rPr>
      </w:pPr>
    </w:p>
    <w:p w:rsidR="008914ED" w:rsidRDefault="008914ED" w:rsidP="00AC1287">
      <w:pPr>
        <w:spacing w:after="0"/>
        <w:rPr>
          <w:rFonts w:ascii="Arial" w:hAnsi="Arial" w:cs="Arial"/>
          <w:color w:val="373737"/>
        </w:rPr>
      </w:pPr>
    </w:p>
    <w:p w:rsidR="008914ED" w:rsidRPr="002C0F82" w:rsidRDefault="008914ED">
      <w:pPr>
        <w:spacing w:after="0"/>
        <w:rPr>
          <w:rFonts w:ascii="Arial" w:hAnsi="Arial" w:cs="Arial"/>
        </w:rPr>
      </w:pPr>
    </w:p>
    <w:sectPr w:rsidR="008914ED" w:rsidRPr="002C0F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2AD2"/>
    <w:multiLevelType w:val="multilevel"/>
    <w:tmpl w:val="8528ECD0"/>
    <w:lvl w:ilvl="0">
      <w:start w:val="1"/>
      <w:numFmt w:val="decimal"/>
      <w:pStyle w:val="Nadpis1"/>
      <w:lvlText w:val="%1."/>
      <w:lvlJc w:val="left"/>
      <w:pPr>
        <w:tabs>
          <w:tab w:val="num" w:pos="567"/>
        </w:tabs>
        <w:ind w:left="567" w:hanging="567"/>
      </w:pPr>
    </w:lvl>
    <w:lvl w:ilvl="1">
      <w:start w:val="1"/>
      <w:numFmt w:val="decimal"/>
      <w:pStyle w:val="Nadpis2"/>
      <w:lvlText w:val="%1.%2."/>
      <w:lvlJc w:val="left"/>
      <w:pPr>
        <w:tabs>
          <w:tab w:val="num" w:pos="1144"/>
        </w:tabs>
        <w:ind w:left="114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09717FB"/>
    <w:multiLevelType w:val="hybridMultilevel"/>
    <w:tmpl w:val="680E7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0775D5B"/>
    <w:multiLevelType w:val="hybridMultilevel"/>
    <w:tmpl w:val="4C2EDA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4A84989"/>
    <w:multiLevelType w:val="hybridMultilevel"/>
    <w:tmpl w:val="117CFFD6"/>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F735246"/>
    <w:multiLevelType w:val="singleLevel"/>
    <w:tmpl w:val="113681D2"/>
    <w:lvl w:ilvl="0">
      <w:start w:val="1"/>
      <w:numFmt w:val="lowerLetter"/>
      <w:pStyle w:val="Nadpisparagrafu"/>
      <w:lvlText w:val="%1)"/>
      <w:lvlJc w:val="left"/>
      <w:pPr>
        <w:tabs>
          <w:tab w:val="num" w:pos="425"/>
        </w:tabs>
        <w:ind w:left="425" w:hanging="425"/>
      </w:pPr>
    </w:lvl>
  </w:abstractNum>
  <w:abstractNum w:abstractNumId="5">
    <w:nsid w:val="72A43FC1"/>
    <w:multiLevelType w:val="hybridMultilevel"/>
    <w:tmpl w:val="08E247E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0F6"/>
    <w:rsid w:val="00006E13"/>
    <w:rsid w:val="001F6E63"/>
    <w:rsid w:val="002C0F82"/>
    <w:rsid w:val="006172AC"/>
    <w:rsid w:val="006B0CA6"/>
    <w:rsid w:val="007316FA"/>
    <w:rsid w:val="008914ED"/>
    <w:rsid w:val="00905E20"/>
    <w:rsid w:val="009C70F6"/>
    <w:rsid w:val="00AB634F"/>
    <w:rsid w:val="00AC1287"/>
    <w:rsid w:val="00BD5383"/>
    <w:rsid w:val="00C93E5A"/>
    <w:rsid w:val="00CC22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00"/>
    <w:link w:val="Nadpis1Char"/>
    <w:qFormat/>
    <w:rsid w:val="00AC1287"/>
    <w:pPr>
      <w:keepNext/>
      <w:numPr>
        <w:numId w:val="3"/>
      </w:numPr>
      <w:spacing w:before="240" w:after="0" w:line="240" w:lineRule="auto"/>
      <w:jc w:val="both"/>
      <w:outlineLvl w:val="0"/>
    </w:pPr>
    <w:rPr>
      <w:rFonts w:ascii="Times New Roman" w:eastAsia="Times New Roman" w:hAnsi="Times New Roman" w:cs="Times New Roman"/>
      <w:b/>
      <w:sz w:val="28"/>
      <w:szCs w:val="20"/>
      <w:lang w:eastAsia="cs-CZ"/>
    </w:rPr>
  </w:style>
  <w:style w:type="paragraph" w:styleId="Nadpis2">
    <w:name w:val="heading 2"/>
    <w:basedOn w:val="Normln"/>
    <w:next w:val="n00"/>
    <w:link w:val="Nadpis2Char"/>
    <w:qFormat/>
    <w:rsid w:val="00AC1287"/>
    <w:pPr>
      <w:keepNext/>
      <w:numPr>
        <w:ilvl w:val="1"/>
        <w:numId w:val="3"/>
      </w:numPr>
      <w:spacing w:before="180" w:after="0" w:line="240" w:lineRule="auto"/>
      <w:jc w:val="both"/>
      <w:outlineLvl w:val="1"/>
    </w:pPr>
    <w:rPr>
      <w:rFonts w:ascii="Times New Roman" w:eastAsia="Times New Roman" w:hAnsi="Times New Roman" w:cs="Times New Roman"/>
      <w:b/>
      <w:i/>
      <w:sz w:val="2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172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72AC"/>
    <w:rPr>
      <w:rFonts w:ascii="Tahoma" w:hAnsi="Tahoma" w:cs="Tahoma"/>
      <w:sz w:val="16"/>
      <w:szCs w:val="16"/>
    </w:rPr>
  </w:style>
  <w:style w:type="paragraph" w:styleId="Normlnweb">
    <w:name w:val="Normal (Web)"/>
    <w:basedOn w:val="Normln"/>
    <w:uiPriority w:val="99"/>
    <w:semiHidden/>
    <w:unhideWhenUsed/>
    <w:rsid w:val="006172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172AC"/>
    <w:pPr>
      <w:ind w:left="720"/>
      <w:contextualSpacing/>
    </w:pPr>
  </w:style>
  <w:style w:type="character" w:customStyle="1" w:styleId="Nadpis1Char">
    <w:name w:val="Nadpis 1 Char"/>
    <w:basedOn w:val="Standardnpsmoodstavce"/>
    <w:link w:val="Nadpis1"/>
    <w:rsid w:val="00AC1287"/>
    <w:rPr>
      <w:rFonts w:ascii="Times New Roman" w:eastAsia="Times New Roman" w:hAnsi="Times New Roman" w:cs="Times New Roman"/>
      <w:b/>
      <w:sz w:val="28"/>
      <w:szCs w:val="20"/>
      <w:lang w:eastAsia="cs-CZ"/>
    </w:rPr>
  </w:style>
  <w:style w:type="character" w:customStyle="1" w:styleId="Nadpis2Char">
    <w:name w:val="Nadpis 2 Char"/>
    <w:basedOn w:val="Standardnpsmoodstavce"/>
    <w:link w:val="Nadpis2"/>
    <w:rsid w:val="00AC1287"/>
    <w:rPr>
      <w:rFonts w:ascii="Times New Roman" w:eastAsia="Times New Roman" w:hAnsi="Times New Roman" w:cs="Times New Roman"/>
      <w:b/>
      <w:i/>
      <w:sz w:val="26"/>
      <w:szCs w:val="20"/>
      <w:lang w:eastAsia="cs-CZ"/>
    </w:rPr>
  </w:style>
  <w:style w:type="paragraph" w:customStyle="1" w:styleId="n00">
    <w:name w:val="n00"/>
    <w:basedOn w:val="Normln"/>
    <w:rsid w:val="00AC1287"/>
    <w:pPr>
      <w:spacing w:before="120" w:after="0" w:line="240" w:lineRule="auto"/>
      <w:jc w:val="both"/>
    </w:pPr>
    <w:rPr>
      <w:rFonts w:ascii="Times New Roman" w:eastAsia="Times New Roman" w:hAnsi="Times New Roman" w:cs="Times New Roman"/>
      <w:sz w:val="26"/>
      <w:szCs w:val="20"/>
      <w:lang w:eastAsia="cs-CZ"/>
    </w:rPr>
  </w:style>
  <w:style w:type="paragraph" w:customStyle="1" w:styleId="Nadpisparagrafu">
    <w:name w:val="Nadpis paragrafu"/>
    <w:basedOn w:val="Normln"/>
    <w:next w:val="Normln"/>
    <w:rsid w:val="00905E20"/>
    <w:pPr>
      <w:keepNext/>
      <w:keepLines/>
      <w:numPr>
        <w:numId w:val="6"/>
      </w:numPr>
      <w:tabs>
        <w:tab w:val="clear" w:pos="425"/>
      </w:tabs>
      <w:spacing w:before="240" w:after="0" w:line="240" w:lineRule="auto"/>
      <w:ind w:left="0" w:firstLine="0"/>
      <w:jc w:val="center"/>
      <w:outlineLvl w:val="5"/>
    </w:pPr>
    <w:rPr>
      <w:rFonts w:ascii="Times New Roman" w:eastAsia="Times New Roman" w:hAnsi="Times New Roman" w:cs="Times New Roman"/>
      <w:b/>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00"/>
    <w:link w:val="Nadpis1Char"/>
    <w:qFormat/>
    <w:rsid w:val="00AC1287"/>
    <w:pPr>
      <w:keepNext/>
      <w:numPr>
        <w:numId w:val="3"/>
      </w:numPr>
      <w:spacing w:before="240" w:after="0" w:line="240" w:lineRule="auto"/>
      <w:jc w:val="both"/>
      <w:outlineLvl w:val="0"/>
    </w:pPr>
    <w:rPr>
      <w:rFonts w:ascii="Times New Roman" w:eastAsia="Times New Roman" w:hAnsi="Times New Roman" w:cs="Times New Roman"/>
      <w:b/>
      <w:sz w:val="28"/>
      <w:szCs w:val="20"/>
      <w:lang w:eastAsia="cs-CZ"/>
    </w:rPr>
  </w:style>
  <w:style w:type="paragraph" w:styleId="Nadpis2">
    <w:name w:val="heading 2"/>
    <w:basedOn w:val="Normln"/>
    <w:next w:val="n00"/>
    <w:link w:val="Nadpis2Char"/>
    <w:qFormat/>
    <w:rsid w:val="00AC1287"/>
    <w:pPr>
      <w:keepNext/>
      <w:numPr>
        <w:ilvl w:val="1"/>
        <w:numId w:val="3"/>
      </w:numPr>
      <w:spacing w:before="180" w:after="0" w:line="240" w:lineRule="auto"/>
      <w:jc w:val="both"/>
      <w:outlineLvl w:val="1"/>
    </w:pPr>
    <w:rPr>
      <w:rFonts w:ascii="Times New Roman" w:eastAsia="Times New Roman" w:hAnsi="Times New Roman" w:cs="Times New Roman"/>
      <w:b/>
      <w:i/>
      <w:sz w:val="26"/>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172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72AC"/>
    <w:rPr>
      <w:rFonts w:ascii="Tahoma" w:hAnsi="Tahoma" w:cs="Tahoma"/>
      <w:sz w:val="16"/>
      <w:szCs w:val="16"/>
    </w:rPr>
  </w:style>
  <w:style w:type="paragraph" w:styleId="Normlnweb">
    <w:name w:val="Normal (Web)"/>
    <w:basedOn w:val="Normln"/>
    <w:uiPriority w:val="99"/>
    <w:semiHidden/>
    <w:unhideWhenUsed/>
    <w:rsid w:val="006172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6172AC"/>
    <w:pPr>
      <w:ind w:left="720"/>
      <w:contextualSpacing/>
    </w:pPr>
  </w:style>
  <w:style w:type="character" w:customStyle="1" w:styleId="Nadpis1Char">
    <w:name w:val="Nadpis 1 Char"/>
    <w:basedOn w:val="Standardnpsmoodstavce"/>
    <w:link w:val="Nadpis1"/>
    <w:rsid w:val="00AC1287"/>
    <w:rPr>
      <w:rFonts w:ascii="Times New Roman" w:eastAsia="Times New Roman" w:hAnsi="Times New Roman" w:cs="Times New Roman"/>
      <w:b/>
      <w:sz w:val="28"/>
      <w:szCs w:val="20"/>
      <w:lang w:eastAsia="cs-CZ"/>
    </w:rPr>
  </w:style>
  <w:style w:type="character" w:customStyle="1" w:styleId="Nadpis2Char">
    <w:name w:val="Nadpis 2 Char"/>
    <w:basedOn w:val="Standardnpsmoodstavce"/>
    <w:link w:val="Nadpis2"/>
    <w:rsid w:val="00AC1287"/>
    <w:rPr>
      <w:rFonts w:ascii="Times New Roman" w:eastAsia="Times New Roman" w:hAnsi="Times New Roman" w:cs="Times New Roman"/>
      <w:b/>
      <w:i/>
      <w:sz w:val="26"/>
      <w:szCs w:val="20"/>
      <w:lang w:eastAsia="cs-CZ"/>
    </w:rPr>
  </w:style>
  <w:style w:type="paragraph" w:customStyle="1" w:styleId="n00">
    <w:name w:val="n00"/>
    <w:basedOn w:val="Normln"/>
    <w:rsid w:val="00AC1287"/>
    <w:pPr>
      <w:spacing w:before="120" w:after="0" w:line="240" w:lineRule="auto"/>
      <w:jc w:val="both"/>
    </w:pPr>
    <w:rPr>
      <w:rFonts w:ascii="Times New Roman" w:eastAsia="Times New Roman" w:hAnsi="Times New Roman" w:cs="Times New Roman"/>
      <w:sz w:val="26"/>
      <w:szCs w:val="20"/>
      <w:lang w:eastAsia="cs-CZ"/>
    </w:rPr>
  </w:style>
  <w:style w:type="paragraph" w:customStyle="1" w:styleId="Nadpisparagrafu">
    <w:name w:val="Nadpis paragrafu"/>
    <w:basedOn w:val="Normln"/>
    <w:next w:val="Normln"/>
    <w:rsid w:val="00905E20"/>
    <w:pPr>
      <w:keepNext/>
      <w:keepLines/>
      <w:numPr>
        <w:numId w:val="6"/>
      </w:numPr>
      <w:tabs>
        <w:tab w:val="clear" w:pos="425"/>
      </w:tabs>
      <w:spacing w:before="240" w:after="0" w:line="240" w:lineRule="auto"/>
      <w:ind w:left="0" w:firstLine="0"/>
      <w:jc w:val="center"/>
      <w:outlineLvl w:val="5"/>
    </w:pPr>
    <w:rPr>
      <w:rFonts w:ascii="Times New Roman" w:eastAsia="Times New Roman" w:hAnsi="Times New Roman" w:cs="Times New Roman"/>
      <w:b/>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1679</Words>
  <Characters>9910</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SMO</Company>
  <LinksUpToDate>false</LinksUpToDate>
  <CharactersWithSpaces>11566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Grigarová Lenka</dc:creator>
  <cp:lastModifiedBy>Grigarová Lenka</cp:lastModifiedBy>
  <cp:revision>11</cp:revision>
  <dcterms:created xsi:type="dcterms:W3CDTF">2015-04-17T09:35:00Z</dcterms:created>
  <dcterms:modified xsi:type="dcterms:W3CDTF">2015-04-21T07:59:00Z</dcterms:modified>
</cp:coreProperties>
</file>