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22" w:rsidRPr="008B4351" w:rsidRDefault="008B4351" w:rsidP="008B4351">
      <w:pPr>
        <w:jc w:val="center"/>
        <w:rPr>
          <w:rFonts w:cstheme="minorHAnsi"/>
          <w:b/>
          <w:sz w:val="24"/>
          <w:szCs w:val="24"/>
        </w:rPr>
      </w:pPr>
      <w:r w:rsidRPr="008B4351">
        <w:rPr>
          <w:rFonts w:cstheme="minorHAnsi"/>
          <w:b/>
          <w:sz w:val="24"/>
          <w:szCs w:val="24"/>
        </w:rPr>
        <w:t>KOMENTÁŘ</w:t>
      </w:r>
    </w:p>
    <w:p w:rsidR="006B3C38" w:rsidRPr="00B4541D" w:rsidRDefault="00442F3E" w:rsidP="00AF58B2">
      <w:pPr>
        <w:jc w:val="center"/>
        <w:rPr>
          <w:rFonts w:cstheme="minorHAnsi"/>
          <w:b/>
        </w:rPr>
      </w:pPr>
      <w:r w:rsidRPr="00B4541D">
        <w:rPr>
          <w:rFonts w:cstheme="minorHAnsi"/>
          <w:b/>
        </w:rPr>
        <w:t xml:space="preserve">Účetní závěrka </w:t>
      </w:r>
      <w:r w:rsidR="00AF58B2">
        <w:rPr>
          <w:rFonts w:cstheme="minorHAnsi"/>
          <w:b/>
        </w:rPr>
        <w:t>s</w:t>
      </w:r>
      <w:r w:rsidRPr="00B4541D">
        <w:rPr>
          <w:rFonts w:cstheme="minorHAnsi"/>
          <w:b/>
        </w:rPr>
        <w:t xml:space="preserve">tatutárního města Opavy </w:t>
      </w:r>
      <w:r w:rsidR="00714F20" w:rsidRPr="00B4541D">
        <w:rPr>
          <w:rFonts w:cstheme="minorHAnsi"/>
          <w:b/>
        </w:rPr>
        <w:t>k rozvahovému dni 31.</w:t>
      </w:r>
      <w:r w:rsidR="00C46148">
        <w:rPr>
          <w:rFonts w:cstheme="minorHAnsi"/>
          <w:b/>
        </w:rPr>
        <w:t xml:space="preserve"> </w:t>
      </w:r>
      <w:r w:rsidR="00714F20" w:rsidRPr="00B4541D">
        <w:rPr>
          <w:rFonts w:cstheme="minorHAnsi"/>
          <w:b/>
        </w:rPr>
        <w:t>12.</w:t>
      </w:r>
      <w:r w:rsidRPr="00B4541D">
        <w:rPr>
          <w:rFonts w:cstheme="minorHAnsi"/>
          <w:b/>
        </w:rPr>
        <w:t xml:space="preserve"> 20</w:t>
      </w:r>
      <w:r w:rsidR="00744BFE">
        <w:rPr>
          <w:rFonts w:cstheme="minorHAnsi"/>
          <w:b/>
        </w:rPr>
        <w:t>20</w:t>
      </w:r>
    </w:p>
    <w:p w:rsidR="00F7183F" w:rsidRPr="00B4541D" w:rsidRDefault="00DA22F8" w:rsidP="008B435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cs-CZ"/>
        </w:rPr>
      </w:pPr>
      <w:r w:rsidRPr="00B4541D">
        <w:rPr>
          <w:rFonts w:cstheme="minorHAnsi"/>
          <w:color w:val="212529"/>
        </w:rPr>
        <w:t>Povinnost schvalovat účetní závěrku je vymezena zákonem č. 239/2012 Sb., kterým se mění zejména zákon č.</w:t>
      </w:r>
      <w:r w:rsidR="00442F3E" w:rsidRPr="00B4541D">
        <w:rPr>
          <w:rFonts w:cstheme="minorHAnsi"/>
          <w:color w:val="212529"/>
        </w:rPr>
        <w:t xml:space="preserve"> 563/1991 Sb.</w:t>
      </w:r>
      <w:r w:rsidRPr="00B4541D">
        <w:rPr>
          <w:rFonts w:cstheme="minorHAnsi"/>
          <w:color w:val="212529"/>
        </w:rPr>
        <w:t xml:space="preserve">, o účetnictví, zákonem č. 128/2000 Sb., o obcích a </w:t>
      </w:r>
      <w:r w:rsidR="00714F20" w:rsidRPr="00B4541D">
        <w:rPr>
          <w:rFonts w:cstheme="minorHAnsi"/>
          <w:color w:val="212529"/>
        </w:rPr>
        <w:t>dále</w:t>
      </w:r>
      <w:r w:rsidR="00442F3E" w:rsidRPr="00B4541D">
        <w:rPr>
          <w:rFonts w:cstheme="minorHAnsi"/>
          <w:color w:val="212529"/>
        </w:rPr>
        <w:t xml:space="preserve"> vyhlášk</w:t>
      </w:r>
      <w:r w:rsidRPr="00B4541D">
        <w:rPr>
          <w:rFonts w:cstheme="minorHAnsi"/>
          <w:color w:val="212529"/>
        </w:rPr>
        <w:t>ou</w:t>
      </w:r>
      <w:r w:rsidR="00442F3E" w:rsidRPr="00B4541D">
        <w:rPr>
          <w:rFonts w:cstheme="minorHAnsi"/>
          <w:color w:val="212529"/>
        </w:rPr>
        <w:t xml:space="preserve"> č. 220/2013 Sb., o požadavcích na schvalování účetních závěrek některých vybraných účetních jednotek</w:t>
      </w:r>
      <w:r w:rsidRPr="00B4541D">
        <w:rPr>
          <w:rFonts w:cstheme="minorHAnsi"/>
          <w:color w:val="212529"/>
        </w:rPr>
        <w:t xml:space="preserve">. </w:t>
      </w:r>
      <w:r w:rsidR="00882AA2" w:rsidRPr="00B4541D">
        <w:rPr>
          <w:rFonts w:cstheme="minorHAnsi"/>
          <w:color w:val="212529"/>
        </w:rPr>
        <w:t xml:space="preserve"> </w:t>
      </w:r>
    </w:p>
    <w:p w:rsidR="00DA22F8" w:rsidRPr="00B4541D" w:rsidRDefault="00DA22F8" w:rsidP="00AF58B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cs-CZ"/>
        </w:rPr>
      </w:pPr>
      <w:r w:rsidRPr="00B4541D">
        <w:rPr>
          <w:rFonts w:eastAsia="Times New Roman" w:cstheme="minorHAnsi"/>
          <w:color w:val="212529"/>
          <w:lang w:eastAsia="cs-CZ"/>
        </w:rPr>
        <w:t>Schvalovacímu orgánu ve smyslu ustanovení § 5 vyhlášky č. 220/2013 Sb., o schvalování v rámci zákonné povinnosti předkládá</w:t>
      </w:r>
      <w:r w:rsidR="00F7183F" w:rsidRPr="00B4541D">
        <w:rPr>
          <w:rFonts w:eastAsia="Times New Roman" w:cstheme="minorHAnsi"/>
          <w:color w:val="212529"/>
          <w:lang w:eastAsia="cs-CZ"/>
        </w:rPr>
        <w:t>me</w:t>
      </w:r>
      <w:r w:rsidRPr="00B4541D">
        <w:rPr>
          <w:rFonts w:eastAsia="Times New Roman" w:cstheme="minorHAnsi"/>
          <w:color w:val="212529"/>
          <w:lang w:eastAsia="cs-CZ"/>
        </w:rPr>
        <w:t xml:space="preserve"> níže uvedené účetní záznamy:</w:t>
      </w:r>
    </w:p>
    <w:p w:rsidR="00F7183F" w:rsidRPr="00B4541D" w:rsidRDefault="00F7183F" w:rsidP="00F7183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B4541D">
        <w:rPr>
          <w:rFonts w:eastAsia="Times New Roman" w:cstheme="minorHAnsi"/>
          <w:color w:val="212529"/>
          <w:lang w:eastAsia="cs-CZ"/>
        </w:rPr>
        <w:t xml:space="preserve">Rozvaha </w:t>
      </w:r>
      <w:r w:rsidR="0055146B">
        <w:rPr>
          <w:rFonts w:eastAsia="Times New Roman" w:cstheme="minorHAnsi"/>
          <w:color w:val="212529"/>
          <w:lang w:eastAsia="cs-CZ"/>
        </w:rPr>
        <w:t>ke dni 31.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55146B">
        <w:rPr>
          <w:rFonts w:eastAsia="Times New Roman" w:cstheme="minorHAnsi"/>
          <w:color w:val="212529"/>
          <w:lang w:eastAsia="cs-CZ"/>
        </w:rPr>
        <w:t>12.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744BFE">
        <w:rPr>
          <w:rFonts w:eastAsia="Times New Roman" w:cstheme="minorHAnsi"/>
          <w:color w:val="212529"/>
          <w:lang w:eastAsia="cs-CZ"/>
        </w:rPr>
        <w:t>2020</w:t>
      </w:r>
    </w:p>
    <w:p w:rsidR="00F7183F" w:rsidRPr="00B4541D" w:rsidRDefault="00F7183F" w:rsidP="00F7183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B4541D">
        <w:rPr>
          <w:rFonts w:eastAsia="Times New Roman" w:cstheme="minorHAnsi"/>
          <w:color w:val="212529"/>
          <w:lang w:eastAsia="cs-CZ"/>
        </w:rPr>
        <w:t>Výkaz zisku a ztráty</w:t>
      </w:r>
      <w:r w:rsidR="00E36880">
        <w:rPr>
          <w:rFonts w:eastAsia="Times New Roman" w:cstheme="minorHAnsi"/>
          <w:color w:val="212529"/>
          <w:lang w:eastAsia="cs-CZ"/>
        </w:rPr>
        <w:t xml:space="preserve"> k 31.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E36880">
        <w:rPr>
          <w:rFonts w:eastAsia="Times New Roman" w:cstheme="minorHAnsi"/>
          <w:color w:val="212529"/>
          <w:lang w:eastAsia="cs-CZ"/>
        </w:rPr>
        <w:t>12.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744BFE">
        <w:rPr>
          <w:rFonts w:eastAsia="Times New Roman" w:cstheme="minorHAnsi"/>
          <w:color w:val="212529"/>
          <w:lang w:eastAsia="cs-CZ"/>
        </w:rPr>
        <w:t>2020</w:t>
      </w:r>
    </w:p>
    <w:p w:rsidR="00F7183F" w:rsidRPr="00B4541D" w:rsidRDefault="00F7183F" w:rsidP="00F7183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B4541D">
        <w:rPr>
          <w:rFonts w:eastAsia="Times New Roman" w:cstheme="minorHAnsi"/>
          <w:color w:val="212529"/>
          <w:lang w:eastAsia="cs-CZ"/>
        </w:rPr>
        <w:t>Příloha</w:t>
      </w:r>
      <w:r w:rsidR="00E36880">
        <w:rPr>
          <w:rFonts w:eastAsia="Times New Roman" w:cstheme="minorHAnsi"/>
          <w:color w:val="212529"/>
          <w:lang w:eastAsia="cs-CZ"/>
        </w:rPr>
        <w:t xml:space="preserve"> ke dni 31.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E36880">
        <w:rPr>
          <w:rFonts w:eastAsia="Times New Roman" w:cstheme="minorHAnsi"/>
          <w:color w:val="212529"/>
          <w:lang w:eastAsia="cs-CZ"/>
        </w:rPr>
        <w:t>12.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744BFE">
        <w:rPr>
          <w:rFonts w:eastAsia="Times New Roman" w:cstheme="minorHAnsi"/>
          <w:color w:val="212529"/>
          <w:lang w:eastAsia="cs-CZ"/>
        </w:rPr>
        <w:t>2020</w:t>
      </w:r>
    </w:p>
    <w:p w:rsidR="00F7183F" w:rsidRPr="00B4541D" w:rsidRDefault="00F7183F" w:rsidP="00F7183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B4541D">
        <w:rPr>
          <w:rFonts w:eastAsia="Times New Roman" w:cstheme="minorHAnsi"/>
          <w:color w:val="212529"/>
          <w:lang w:eastAsia="cs-CZ"/>
        </w:rPr>
        <w:t>Přehled o peněžních tocích</w:t>
      </w:r>
      <w:r w:rsidR="00E36880">
        <w:rPr>
          <w:rFonts w:eastAsia="Times New Roman" w:cstheme="minorHAnsi"/>
          <w:color w:val="212529"/>
          <w:lang w:eastAsia="cs-CZ"/>
        </w:rPr>
        <w:t xml:space="preserve"> k 31.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E36880">
        <w:rPr>
          <w:rFonts w:eastAsia="Times New Roman" w:cstheme="minorHAnsi"/>
          <w:color w:val="212529"/>
          <w:lang w:eastAsia="cs-CZ"/>
        </w:rPr>
        <w:t>12.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744BFE">
        <w:rPr>
          <w:rFonts w:eastAsia="Times New Roman" w:cstheme="minorHAnsi"/>
          <w:color w:val="212529"/>
          <w:lang w:eastAsia="cs-CZ"/>
        </w:rPr>
        <w:t>2020</w:t>
      </w:r>
    </w:p>
    <w:p w:rsidR="00F7183F" w:rsidRPr="00B4541D" w:rsidRDefault="00F7183F" w:rsidP="00F7183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B4541D">
        <w:rPr>
          <w:rFonts w:eastAsia="Times New Roman" w:cstheme="minorHAnsi"/>
          <w:color w:val="212529"/>
          <w:lang w:eastAsia="cs-CZ"/>
        </w:rPr>
        <w:t>Přehled o změnách vlastního kapitálu</w:t>
      </w:r>
      <w:r w:rsidR="00E36880">
        <w:rPr>
          <w:rFonts w:eastAsia="Times New Roman" w:cstheme="minorHAnsi"/>
          <w:color w:val="212529"/>
          <w:lang w:eastAsia="cs-CZ"/>
        </w:rPr>
        <w:t xml:space="preserve"> k 31.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E36880">
        <w:rPr>
          <w:rFonts w:eastAsia="Times New Roman" w:cstheme="minorHAnsi"/>
          <w:color w:val="212529"/>
          <w:lang w:eastAsia="cs-CZ"/>
        </w:rPr>
        <w:t>12.</w:t>
      </w:r>
      <w:r w:rsidR="000D4C72">
        <w:rPr>
          <w:rFonts w:eastAsia="Times New Roman" w:cstheme="minorHAnsi"/>
          <w:color w:val="212529"/>
          <w:lang w:eastAsia="cs-CZ"/>
        </w:rPr>
        <w:t xml:space="preserve"> </w:t>
      </w:r>
      <w:r w:rsidR="00744BFE">
        <w:rPr>
          <w:rFonts w:eastAsia="Times New Roman" w:cstheme="minorHAnsi"/>
          <w:color w:val="212529"/>
          <w:lang w:eastAsia="cs-CZ"/>
        </w:rPr>
        <w:t>2020</w:t>
      </w:r>
    </w:p>
    <w:p w:rsidR="00F7183F" w:rsidRPr="00B4541D" w:rsidRDefault="00F7183F" w:rsidP="00F7183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B4541D">
        <w:rPr>
          <w:rFonts w:eastAsia="Times New Roman" w:cstheme="minorHAnsi"/>
          <w:color w:val="212529"/>
          <w:lang w:eastAsia="cs-CZ"/>
        </w:rPr>
        <w:t xml:space="preserve">Zpráva o výsledku řádné inventarizace </w:t>
      </w:r>
      <w:r w:rsidR="00AF58B2">
        <w:rPr>
          <w:rFonts w:eastAsia="Times New Roman" w:cstheme="minorHAnsi"/>
          <w:color w:val="212529"/>
          <w:lang w:eastAsia="cs-CZ"/>
        </w:rPr>
        <w:t>s</w:t>
      </w:r>
      <w:r w:rsidRPr="00B4541D">
        <w:rPr>
          <w:rFonts w:eastAsia="Times New Roman" w:cstheme="minorHAnsi"/>
          <w:color w:val="212529"/>
          <w:lang w:eastAsia="cs-CZ"/>
        </w:rPr>
        <w:t>tatutního města Opavy</w:t>
      </w:r>
      <w:r w:rsidR="00765D4E">
        <w:rPr>
          <w:rFonts w:eastAsia="Times New Roman" w:cstheme="minorHAnsi"/>
          <w:color w:val="212529"/>
          <w:lang w:eastAsia="cs-CZ"/>
        </w:rPr>
        <w:t xml:space="preserve"> za rok </w:t>
      </w:r>
      <w:r w:rsidR="00744BFE">
        <w:rPr>
          <w:rFonts w:eastAsia="Times New Roman" w:cstheme="minorHAnsi"/>
          <w:color w:val="212529"/>
          <w:lang w:eastAsia="cs-CZ"/>
        </w:rPr>
        <w:t>2020</w:t>
      </w:r>
    </w:p>
    <w:p w:rsidR="00DA22F8" w:rsidRPr="00B4541D" w:rsidRDefault="00F7183F" w:rsidP="0070072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cstheme="minorHAnsi"/>
          <w:color w:val="212529"/>
        </w:rPr>
      </w:pPr>
      <w:r w:rsidRPr="00B4541D">
        <w:rPr>
          <w:rFonts w:eastAsia="Times New Roman" w:cstheme="minorHAnsi"/>
          <w:color w:val="212529"/>
          <w:lang w:eastAsia="cs-CZ"/>
        </w:rPr>
        <w:t xml:space="preserve">Zpráva o výsledku přezkoumání hospodaření </w:t>
      </w:r>
      <w:r w:rsidR="00AF58B2">
        <w:rPr>
          <w:rFonts w:eastAsia="Times New Roman" w:cstheme="minorHAnsi"/>
          <w:color w:val="212529"/>
          <w:lang w:eastAsia="cs-CZ"/>
        </w:rPr>
        <w:t>s</w:t>
      </w:r>
      <w:r w:rsidRPr="00B4541D">
        <w:rPr>
          <w:rFonts w:eastAsia="Times New Roman" w:cstheme="minorHAnsi"/>
          <w:color w:val="212529"/>
          <w:lang w:eastAsia="cs-CZ"/>
        </w:rPr>
        <w:t>tatutárního města Opavy za rok 20</w:t>
      </w:r>
      <w:r w:rsidR="00744BFE">
        <w:rPr>
          <w:rFonts w:eastAsia="Times New Roman" w:cstheme="minorHAnsi"/>
          <w:color w:val="212529"/>
          <w:lang w:eastAsia="cs-CZ"/>
        </w:rPr>
        <w:t>20</w:t>
      </w:r>
    </w:p>
    <w:p w:rsidR="007A1BB7" w:rsidRPr="00B4541D" w:rsidRDefault="007A1BB7" w:rsidP="008B4351">
      <w:pPr>
        <w:jc w:val="both"/>
        <w:rPr>
          <w:rFonts w:cstheme="minorHAnsi"/>
          <w:color w:val="212529"/>
        </w:rPr>
      </w:pPr>
      <w:r w:rsidRPr="00B4541D">
        <w:rPr>
          <w:rFonts w:cstheme="minorHAnsi"/>
          <w:color w:val="212529"/>
        </w:rPr>
        <w:t>Cílem schvalovacího procesu je efektivní posouzení úplnosti a průkaznosti účetnictví a vyhodnocení předvídatelných rizik a ztrát ve vztahu k věrnému a poctivému obrazu předmětu účetnictví a finanční situace účetní jednotky.</w:t>
      </w:r>
      <w:r w:rsidR="00F7183F" w:rsidRPr="00B4541D">
        <w:rPr>
          <w:rFonts w:cstheme="minorHAnsi"/>
          <w:color w:val="212529"/>
        </w:rPr>
        <w:t xml:space="preserve"> Účetní jednotka nezatajila před schvalujícím orgánem žádné skutečnosti. Usnesení zastupitelstva o schválení, případně neschválení účetní závěrky bude předáno včetně souvisejících informac</w:t>
      </w:r>
      <w:r w:rsidR="007C2178" w:rsidRPr="00B4541D">
        <w:rPr>
          <w:rFonts w:cstheme="minorHAnsi"/>
          <w:color w:val="212529"/>
        </w:rPr>
        <w:t>í</w:t>
      </w:r>
      <w:r w:rsidR="00F7183F" w:rsidRPr="00B4541D">
        <w:rPr>
          <w:rFonts w:cstheme="minorHAnsi"/>
          <w:color w:val="212529"/>
        </w:rPr>
        <w:t>, které jsou specifikované v technické vyhlášce č. 383 /2009 Sb., v platném znění, do</w:t>
      </w:r>
      <w:r w:rsidR="007C2178" w:rsidRPr="00B4541D">
        <w:rPr>
          <w:rFonts w:cstheme="minorHAnsi"/>
          <w:color w:val="212529"/>
        </w:rPr>
        <w:t xml:space="preserve"> CSÚIS (Centrálního systému účetních informací státu).</w:t>
      </w:r>
    </w:p>
    <w:p w:rsidR="006014EE" w:rsidRPr="00B4541D" w:rsidRDefault="006014EE">
      <w:pPr>
        <w:rPr>
          <w:rFonts w:cstheme="minorHAnsi"/>
          <w:b/>
          <w:color w:val="212529"/>
        </w:rPr>
      </w:pPr>
      <w:r w:rsidRPr="00B4541D">
        <w:rPr>
          <w:rFonts w:cstheme="minorHAnsi"/>
          <w:b/>
          <w:color w:val="212529"/>
        </w:rPr>
        <w:t>1. ROZVAHA</w:t>
      </w:r>
    </w:p>
    <w:p w:rsidR="00544452" w:rsidRDefault="007A63F0" w:rsidP="008B4351">
      <w:pPr>
        <w:jc w:val="both"/>
        <w:rPr>
          <w:rFonts w:cstheme="minorHAnsi"/>
          <w:color w:val="212529"/>
        </w:rPr>
      </w:pPr>
      <w:r w:rsidRPr="00B4541D">
        <w:rPr>
          <w:rFonts w:cstheme="minorHAnsi"/>
          <w:color w:val="212529"/>
        </w:rPr>
        <w:t>Rozvaha je jedním ze základních účetních výkazů, obsahující uspořádaný a sumarizovaný přehled majetku (aktiv) účetní jednotky a zdrojů jejich krytí (pasiv).</w:t>
      </w:r>
      <w:r w:rsidR="0089757E" w:rsidRPr="00B4541D">
        <w:rPr>
          <w:rFonts w:cstheme="minorHAnsi"/>
          <w:color w:val="212529"/>
        </w:rPr>
        <w:t xml:space="preserve"> Na rozdíl od aktiv, které se primárně člení dle doby, po kterou zůstávají v účetní jednotce, se pasiva člení na vlastní a cizí zdroje. </w:t>
      </w:r>
    </w:p>
    <w:p w:rsidR="00DF5A91" w:rsidRPr="00B4541D" w:rsidRDefault="00DF5A91" w:rsidP="0089757E">
      <w:pPr>
        <w:rPr>
          <w:rFonts w:cstheme="minorHAnsi"/>
          <w:color w:val="212529"/>
        </w:rPr>
      </w:pPr>
      <w:r w:rsidRPr="00B4541D">
        <w:rPr>
          <w:rFonts w:eastAsia="Times New Roman" w:cstheme="minorHAnsi"/>
          <w:color w:val="000000"/>
          <w:lang w:eastAsia="cs-CZ"/>
        </w:rPr>
        <w:t>Tab.</w:t>
      </w:r>
      <w:r w:rsidR="00220B6E">
        <w:rPr>
          <w:rFonts w:eastAsia="Times New Roman" w:cstheme="minorHAnsi"/>
          <w:color w:val="000000"/>
          <w:lang w:eastAsia="cs-CZ"/>
        </w:rPr>
        <w:t xml:space="preserve"> </w:t>
      </w:r>
      <w:proofErr w:type="gramStart"/>
      <w:r w:rsidRPr="00B4541D">
        <w:rPr>
          <w:rFonts w:eastAsia="Times New Roman" w:cstheme="minorHAnsi"/>
          <w:color w:val="000000"/>
          <w:lang w:eastAsia="cs-CZ"/>
        </w:rPr>
        <w:t>č.</w:t>
      </w:r>
      <w:proofErr w:type="gramEnd"/>
      <w:r w:rsidRPr="00B4541D">
        <w:rPr>
          <w:rFonts w:eastAsia="Times New Roman" w:cstheme="minorHAnsi"/>
          <w:color w:val="000000"/>
          <w:lang w:eastAsia="cs-CZ"/>
        </w:rPr>
        <w:t xml:space="preserve"> 1 Rozvaha Statutárního města Opavy - AKTIVA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900"/>
        <w:gridCol w:w="1900"/>
        <w:gridCol w:w="1900"/>
      </w:tblGrid>
      <w:tr w:rsidR="005563D0" w:rsidRPr="005563D0" w:rsidTr="005563D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AKTIVA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Stálá aktiva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Dlouhodobý nehmotný majetek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60 759 284,46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61 773 664,09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65 775 649,67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Dlouhodobý hmotný majetek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5 284 014 901,80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5 424 174 262,74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5 231 662 438,32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Dlouhodobý finanční majetek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342 687 542,30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343 260 602,30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307 454 708,51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Dlouhodobé pohledávky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12 331 230,91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9 159 952,11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49 025 180,57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Oběžná aktiva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Zásoby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10 852 328,94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8 334 807,75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8 500 368,71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Krátkodobé pohledávky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144 623 684,01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89 182 735,73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216 268 050,49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Krátkodobý finanční majetek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710 595 380,42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578 242 281,95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499 925 835,77 Kč</w:t>
            </w:r>
          </w:p>
        </w:tc>
      </w:tr>
    </w:tbl>
    <w:p w:rsidR="009E5188" w:rsidRDefault="009E5188" w:rsidP="00E95FC4">
      <w:pPr>
        <w:rPr>
          <w:rFonts w:cstheme="minorHAnsi"/>
          <w:color w:val="212529"/>
        </w:rPr>
      </w:pPr>
    </w:p>
    <w:p w:rsidR="00162AC3" w:rsidRDefault="00494FF0" w:rsidP="008B4351">
      <w:pPr>
        <w:jc w:val="both"/>
        <w:rPr>
          <w:rFonts w:cstheme="minorHAnsi"/>
          <w:color w:val="212529"/>
        </w:rPr>
      </w:pPr>
      <w:r>
        <w:rPr>
          <w:rFonts w:cstheme="minorHAnsi"/>
          <w:color w:val="212529"/>
        </w:rPr>
        <w:t xml:space="preserve">Dlouhodobý hmotný majetek vykazuje v porovnání s předchozím účetním obdobím úbytek, který je způsoben </w:t>
      </w:r>
      <w:r w:rsidR="00E57B40">
        <w:rPr>
          <w:rFonts w:cstheme="minorHAnsi"/>
          <w:color w:val="212529"/>
        </w:rPr>
        <w:t xml:space="preserve">u účtu 021 Stavby </w:t>
      </w:r>
      <w:r w:rsidR="003C14CE">
        <w:rPr>
          <w:rFonts w:cstheme="minorHAnsi"/>
          <w:color w:val="212529"/>
        </w:rPr>
        <w:t>např.</w:t>
      </w:r>
      <w:r w:rsidR="00E57B40">
        <w:rPr>
          <w:rFonts w:cstheme="minorHAnsi"/>
          <w:color w:val="212529"/>
        </w:rPr>
        <w:t xml:space="preserve"> </w:t>
      </w:r>
      <w:r>
        <w:rPr>
          <w:rFonts w:cstheme="minorHAnsi"/>
          <w:color w:val="212529"/>
        </w:rPr>
        <w:t xml:space="preserve">převodem nového vybudovaného penzionu Hálkova v hodnotě </w:t>
      </w:r>
      <w:r w:rsidR="00162AC3">
        <w:rPr>
          <w:rFonts w:cstheme="minorHAnsi"/>
          <w:color w:val="212529"/>
        </w:rPr>
        <w:t xml:space="preserve">107 087 tis. Kč na </w:t>
      </w:r>
      <w:r w:rsidR="00E57B40">
        <w:rPr>
          <w:rFonts w:cstheme="minorHAnsi"/>
          <w:color w:val="212529"/>
        </w:rPr>
        <w:t xml:space="preserve">příspěvkovou organizaci </w:t>
      </w:r>
      <w:proofErr w:type="spellStart"/>
      <w:r w:rsidR="00162AC3">
        <w:rPr>
          <w:rFonts w:cstheme="minorHAnsi"/>
          <w:color w:val="212529"/>
        </w:rPr>
        <w:t>Seniorcentrum</w:t>
      </w:r>
      <w:proofErr w:type="spellEnd"/>
      <w:r w:rsidR="00162AC3">
        <w:rPr>
          <w:rFonts w:cstheme="minorHAnsi"/>
          <w:color w:val="212529"/>
        </w:rPr>
        <w:t xml:space="preserve"> Opava</w:t>
      </w:r>
      <w:r w:rsidR="00E57B40">
        <w:rPr>
          <w:rFonts w:cstheme="minorHAnsi"/>
          <w:color w:val="212529"/>
        </w:rPr>
        <w:t>,</w:t>
      </w:r>
      <w:r w:rsidR="00C87282">
        <w:rPr>
          <w:rFonts w:cstheme="minorHAnsi"/>
          <w:color w:val="212529"/>
        </w:rPr>
        <w:t xml:space="preserve"> </w:t>
      </w:r>
      <w:r w:rsidR="00E57B40">
        <w:rPr>
          <w:rFonts w:cstheme="minorHAnsi"/>
          <w:color w:val="212529"/>
        </w:rPr>
        <w:t>p</w:t>
      </w:r>
      <w:r w:rsidR="00C87282">
        <w:rPr>
          <w:rFonts w:cstheme="minorHAnsi"/>
          <w:color w:val="212529"/>
        </w:rPr>
        <w:t>řevod</w:t>
      </w:r>
      <w:r w:rsidR="00E57B40">
        <w:rPr>
          <w:rFonts w:cstheme="minorHAnsi"/>
          <w:color w:val="212529"/>
        </w:rPr>
        <w:t>em</w:t>
      </w:r>
      <w:r w:rsidR="00C87282">
        <w:rPr>
          <w:rFonts w:cstheme="minorHAnsi"/>
          <w:color w:val="212529"/>
        </w:rPr>
        <w:t xml:space="preserve"> </w:t>
      </w:r>
      <w:r w:rsidR="00162AC3">
        <w:rPr>
          <w:rFonts w:cstheme="minorHAnsi"/>
          <w:color w:val="212529"/>
        </w:rPr>
        <w:t>přístavby MŠ Komárov v hodnotě 18 575 tis. Kč</w:t>
      </w:r>
      <w:r w:rsidR="00C87282">
        <w:rPr>
          <w:rFonts w:cstheme="minorHAnsi"/>
          <w:color w:val="212529"/>
        </w:rPr>
        <w:t xml:space="preserve"> na </w:t>
      </w:r>
      <w:r w:rsidR="00162AC3">
        <w:rPr>
          <w:rFonts w:cstheme="minorHAnsi"/>
          <w:color w:val="212529"/>
        </w:rPr>
        <w:t xml:space="preserve">PO ZŠ Komárov. </w:t>
      </w:r>
      <w:r w:rsidR="00E57B40">
        <w:rPr>
          <w:rFonts w:cstheme="minorHAnsi"/>
          <w:color w:val="212529"/>
        </w:rPr>
        <w:t>Ú</w:t>
      </w:r>
      <w:r w:rsidR="00162AC3">
        <w:rPr>
          <w:rFonts w:cstheme="minorHAnsi"/>
          <w:color w:val="212529"/>
        </w:rPr>
        <w:t xml:space="preserve">čet 036 </w:t>
      </w:r>
      <w:r w:rsidR="001E047F">
        <w:rPr>
          <w:rFonts w:cstheme="minorHAnsi"/>
          <w:color w:val="212529"/>
        </w:rPr>
        <w:t>Dlouhodobý hmotný majetek určený k</w:t>
      </w:r>
      <w:r w:rsidR="00873051">
        <w:rPr>
          <w:rFonts w:cstheme="minorHAnsi"/>
          <w:color w:val="212529"/>
        </w:rPr>
        <w:t> </w:t>
      </w:r>
      <w:r w:rsidR="001E047F">
        <w:rPr>
          <w:rFonts w:cstheme="minorHAnsi"/>
          <w:color w:val="212529"/>
        </w:rPr>
        <w:t>prodeji</w:t>
      </w:r>
      <w:r w:rsidR="00873051">
        <w:rPr>
          <w:rFonts w:cstheme="minorHAnsi"/>
          <w:color w:val="212529"/>
        </w:rPr>
        <w:t xml:space="preserve"> </w:t>
      </w:r>
      <w:r w:rsidR="00E57B40">
        <w:rPr>
          <w:rFonts w:cstheme="minorHAnsi"/>
          <w:color w:val="212529"/>
        </w:rPr>
        <w:lastRenderedPageBreak/>
        <w:t xml:space="preserve">(majetek přeceněný na reálnou hodnotu) vykazuje úbytek 85 mil. Kč. – prodej </w:t>
      </w:r>
      <w:r w:rsidR="00C87282">
        <w:rPr>
          <w:rFonts w:cstheme="minorHAnsi"/>
          <w:color w:val="212529"/>
        </w:rPr>
        <w:t>čá</w:t>
      </w:r>
      <w:r w:rsidR="00162AC3">
        <w:rPr>
          <w:rFonts w:cstheme="minorHAnsi"/>
          <w:color w:val="212529"/>
        </w:rPr>
        <w:t>st</w:t>
      </w:r>
      <w:r w:rsidR="00E57B40">
        <w:rPr>
          <w:rFonts w:cstheme="minorHAnsi"/>
          <w:color w:val="212529"/>
        </w:rPr>
        <w:t>i</w:t>
      </w:r>
      <w:r w:rsidR="00162AC3">
        <w:rPr>
          <w:rFonts w:cstheme="minorHAnsi"/>
          <w:color w:val="212529"/>
        </w:rPr>
        <w:t xml:space="preserve"> Dukelských kasáren</w:t>
      </w:r>
      <w:r w:rsidR="00C87282">
        <w:rPr>
          <w:rFonts w:cstheme="minorHAnsi"/>
          <w:color w:val="212529"/>
        </w:rPr>
        <w:t xml:space="preserve"> (budovy, pozemky)</w:t>
      </w:r>
      <w:r w:rsidR="00162AC3">
        <w:rPr>
          <w:rFonts w:cstheme="minorHAnsi"/>
          <w:color w:val="212529"/>
        </w:rPr>
        <w:t xml:space="preserve">, </w:t>
      </w:r>
      <w:r w:rsidR="00E57B40">
        <w:rPr>
          <w:rFonts w:cstheme="minorHAnsi"/>
          <w:color w:val="212529"/>
        </w:rPr>
        <w:t>domu</w:t>
      </w:r>
      <w:r w:rsidR="00C87282">
        <w:rPr>
          <w:rFonts w:cstheme="minorHAnsi"/>
          <w:color w:val="212529"/>
        </w:rPr>
        <w:t xml:space="preserve"> U Opavice, budov</w:t>
      </w:r>
      <w:r w:rsidR="00E57B40">
        <w:rPr>
          <w:rFonts w:cstheme="minorHAnsi"/>
          <w:color w:val="212529"/>
        </w:rPr>
        <w:t>y</w:t>
      </w:r>
      <w:r w:rsidR="00C87282">
        <w:rPr>
          <w:rFonts w:cstheme="minorHAnsi"/>
          <w:color w:val="212529"/>
        </w:rPr>
        <w:t xml:space="preserve"> Přemyslovců 32,32a. </w:t>
      </w:r>
    </w:p>
    <w:p w:rsidR="007547FF" w:rsidRDefault="00732D35" w:rsidP="008B4351">
      <w:pPr>
        <w:jc w:val="both"/>
        <w:rPr>
          <w:noProof/>
          <w:lang w:eastAsia="cs-CZ"/>
        </w:rPr>
      </w:pPr>
      <w:r>
        <w:rPr>
          <w:rFonts w:cstheme="minorHAnsi"/>
          <w:color w:val="212529"/>
        </w:rPr>
        <w:t>U krátkodobých pohledávek v porovnání s předchozím účetním obdobím největší podíl na navýšení vykazuj</w:t>
      </w:r>
      <w:r w:rsidR="00663E29">
        <w:rPr>
          <w:rFonts w:cstheme="minorHAnsi"/>
          <w:color w:val="212529"/>
        </w:rPr>
        <w:t>í</w:t>
      </w:r>
      <w:r>
        <w:rPr>
          <w:rFonts w:cstheme="minorHAnsi"/>
          <w:color w:val="212529"/>
        </w:rPr>
        <w:t xml:space="preserve"> zejména </w:t>
      </w:r>
      <w:r w:rsidR="00DF5B80">
        <w:rPr>
          <w:rFonts w:cstheme="minorHAnsi"/>
          <w:color w:val="212529"/>
        </w:rPr>
        <w:t>přechodn</w:t>
      </w:r>
      <w:r w:rsidR="00663E29">
        <w:rPr>
          <w:rFonts w:cstheme="minorHAnsi"/>
          <w:color w:val="212529"/>
        </w:rPr>
        <w:t>é účty aktiv, kterými je významným způsobem podporován akruální princip</w:t>
      </w:r>
      <w:r w:rsidR="000D4383">
        <w:rPr>
          <w:rFonts w:cstheme="minorHAnsi"/>
          <w:color w:val="212529"/>
        </w:rPr>
        <w:t>.</w:t>
      </w:r>
      <w:r w:rsidR="00663E29">
        <w:rPr>
          <w:rFonts w:cstheme="minorHAnsi"/>
          <w:color w:val="212529"/>
        </w:rPr>
        <w:t xml:space="preserve"> Účet 381 – Náklady příštích období </w:t>
      </w:r>
      <w:r w:rsidR="000D4383">
        <w:rPr>
          <w:rFonts w:cstheme="minorHAnsi"/>
          <w:color w:val="212529"/>
        </w:rPr>
        <w:t xml:space="preserve">vykazuje část nevyčerpaného provozního příspěvku převedeného do roku 2021: 7 </w:t>
      </w:r>
      <w:r w:rsidR="00663E29">
        <w:rPr>
          <w:rFonts w:cstheme="minorHAnsi"/>
          <w:color w:val="212529"/>
        </w:rPr>
        <w:t xml:space="preserve">mil. Kč </w:t>
      </w:r>
      <w:r w:rsidR="000D4383">
        <w:rPr>
          <w:rFonts w:cstheme="minorHAnsi"/>
          <w:color w:val="212529"/>
        </w:rPr>
        <w:t xml:space="preserve">Slezské divadlo a 2 790 tis. Kč </w:t>
      </w:r>
      <w:proofErr w:type="spellStart"/>
      <w:r w:rsidR="000D4383">
        <w:rPr>
          <w:rFonts w:cstheme="minorHAnsi"/>
          <w:color w:val="212529"/>
        </w:rPr>
        <w:t>Seniorcentrum</w:t>
      </w:r>
      <w:proofErr w:type="spellEnd"/>
      <w:r w:rsidR="000D4383">
        <w:rPr>
          <w:rFonts w:cstheme="minorHAnsi"/>
          <w:color w:val="212529"/>
        </w:rPr>
        <w:t xml:space="preserve"> Opava.              Účet </w:t>
      </w:r>
      <w:r>
        <w:rPr>
          <w:rFonts w:cstheme="minorHAnsi"/>
          <w:color w:val="212529"/>
        </w:rPr>
        <w:t xml:space="preserve">388 </w:t>
      </w:r>
      <w:r w:rsidR="000D4383">
        <w:rPr>
          <w:rFonts w:cstheme="minorHAnsi"/>
          <w:color w:val="212529"/>
        </w:rPr>
        <w:t xml:space="preserve"> - dohadné účty aktivní vykazuj</w:t>
      </w:r>
      <w:r w:rsidR="00E86E1C">
        <w:rPr>
          <w:rFonts w:cstheme="minorHAnsi"/>
          <w:color w:val="212529"/>
        </w:rPr>
        <w:t>í</w:t>
      </w:r>
      <w:r w:rsidR="000D4383">
        <w:rPr>
          <w:rFonts w:cstheme="minorHAnsi"/>
          <w:color w:val="212529"/>
        </w:rPr>
        <w:t xml:space="preserve"> dohad na daň z příjmů za rok 2020 ve výši 45 782 tis. </w:t>
      </w:r>
      <w:proofErr w:type="gramStart"/>
      <w:r w:rsidR="000D4383">
        <w:rPr>
          <w:rFonts w:cstheme="minorHAnsi"/>
          <w:color w:val="212529"/>
        </w:rPr>
        <w:t>Kč  dohad</w:t>
      </w:r>
      <w:proofErr w:type="gramEnd"/>
      <w:r w:rsidR="000D4383">
        <w:rPr>
          <w:rFonts w:cstheme="minorHAnsi"/>
          <w:color w:val="212529"/>
        </w:rPr>
        <w:t xml:space="preserve"> na transfer k akci Odborné učebny ZŠ Boženy Němcové ve výši 9 600 tis. Kč, </w:t>
      </w:r>
      <w:r w:rsidR="003C14CE">
        <w:rPr>
          <w:rFonts w:cstheme="minorHAnsi"/>
          <w:color w:val="212529"/>
        </w:rPr>
        <w:t xml:space="preserve">dohad na transfer </w:t>
      </w:r>
      <w:r w:rsidR="000D4383">
        <w:rPr>
          <w:rFonts w:cstheme="minorHAnsi"/>
          <w:color w:val="212529"/>
        </w:rPr>
        <w:t>2 523 tis. Kč na akci Revitalizace bytových domů Hrnčířská 13,15 a 15a.</w:t>
      </w:r>
      <w:r w:rsidR="007547FF" w:rsidRPr="007547FF">
        <w:rPr>
          <w:noProof/>
          <w:lang w:eastAsia="cs-CZ"/>
        </w:rPr>
        <w:t xml:space="preserve"> </w:t>
      </w:r>
      <w:r w:rsidR="007547FF">
        <w:rPr>
          <w:noProof/>
          <w:lang w:eastAsia="cs-CZ"/>
        </w:rPr>
        <w:t xml:space="preserve">                                                             </w:t>
      </w:r>
    </w:p>
    <w:p w:rsidR="00732D35" w:rsidRDefault="007547FF" w:rsidP="00E95FC4">
      <w:pPr>
        <w:rPr>
          <w:rFonts w:cstheme="minorHAnsi"/>
          <w:color w:val="212529"/>
        </w:rPr>
      </w:pPr>
      <w:r>
        <w:rPr>
          <w:noProof/>
          <w:lang w:eastAsia="cs-CZ"/>
        </w:rPr>
        <w:drawing>
          <wp:inline distT="0" distB="0" distL="0" distR="0" wp14:anchorId="1760738C" wp14:editId="6A3D7901">
            <wp:extent cx="5610225" cy="23526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53F9" w:rsidRDefault="00936C7C" w:rsidP="00E95FC4">
      <w:pPr>
        <w:rPr>
          <w:rFonts w:cstheme="minorHAnsi"/>
          <w:color w:val="212529"/>
        </w:rPr>
      </w:pPr>
      <w:r>
        <w:rPr>
          <w:noProof/>
          <w:lang w:eastAsia="cs-CZ"/>
        </w:rPr>
        <w:drawing>
          <wp:inline distT="0" distB="0" distL="0" distR="0" wp14:anchorId="17A82189" wp14:editId="6FD1D834">
            <wp:extent cx="5667375" cy="3503295"/>
            <wp:effectExtent l="0" t="0" r="9525" b="19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44A8" w:rsidRDefault="007444A8" w:rsidP="00E95FC4">
      <w:pPr>
        <w:rPr>
          <w:rFonts w:cstheme="minorHAnsi"/>
          <w:color w:val="212529"/>
        </w:rPr>
      </w:pPr>
    </w:p>
    <w:p w:rsidR="007444A8" w:rsidRDefault="007444A8" w:rsidP="00E95FC4">
      <w:pPr>
        <w:rPr>
          <w:rFonts w:cstheme="minorHAnsi"/>
          <w:color w:val="212529"/>
        </w:rPr>
      </w:pPr>
    </w:p>
    <w:p w:rsidR="007444A8" w:rsidRDefault="007444A8" w:rsidP="00E95FC4">
      <w:pPr>
        <w:rPr>
          <w:rFonts w:cstheme="minorHAnsi"/>
          <w:color w:val="212529"/>
        </w:rPr>
      </w:pPr>
    </w:p>
    <w:p w:rsidR="00490022" w:rsidRPr="00B4541D" w:rsidRDefault="00A075FC" w:rsidP="00E95FC4">
      <w:pPr>
        <w:rPr>
          <w:rFonts w:cstheme="minorHAnsi"/>
          <w:color w:val="212529"/>
        </w:rPr>
      </w:pPr>
      <w:r w:rsidRPr="00B4541D">
        <w:rPr>
          <w:rFonts w:cstheme="minorHAnsi"/>
          <w:color w:val="212529"/>
        </w:rPr>
        <w:lastRenderedPageBreak/>
        <w:t>Tab.</w:t>
      </w:r>
      <w:r w:rsidR="00220B6E">
        <w:rPr>
          <w:rFonts w:cstheme="minorHAnsi"/>
          <w:color w:val="212529"/>
        </w:rPr>
        <w:t xml:space="preserve"> </w:t>
      </w:r>
      <w:proofErr w:type="gramStart"/>
      <w:r w:rsidRPr="00B4541D">
        <w:rPr>
          <w:rFonts w:cstheme="minorHAnsi"/>
          <w:color w:val="212529"/>
        </w:rPr>
        <w:t>č.</w:t>
      </w:r>
      <w:proofErr w:type="gramEnd"/>
      <w:r w:rsidRPr="00B4541D">
        <w:rPr>
          <w:rFonts w:cstheme="minorHAnsi"/>
          <w:color w:val="212529"/>
        </w:rPr>
        <w:t xml:space="preserve"> 2 Rozvaha </w:t>
      </w:r>
      <w:r w:rsidR="003B048E">
        <w:rPr>
          <w:rFonts w:cstheme="minorHAnsi"/>
          <w:color w:val="212529"/>
        </w:rPr>
        <w:t>s</w:t>
      </w:r>
      <w:bookmarkStart w:id="0" w:name="_GoBack"/>
      <w:bookmarkEnd w:id="0"/>
      <w:r w:rsidRPr="00B4541D">
        <w:rPr>
          <w:rFonts w:cstheme="minorHAnsi"/>
          <w:color w:val="212529"/>
        </w:rPr>
        <w:t xml:space="preserve">tatutárního města </w:t>
      </w:r>
      <w:r w:rsidR="00046D6A" w:rsidRPr="00B4541D">
        <w:rPr>
          <w:rFonts w:cstheme="minorHAnsi"/>
          <w:color w:val="212529"/>
        </w:rPr>
        <w:t xml:space="preserve">Opavy </w:t>
      </w:r>
      <w:r w:rsidR="00DB14B0" w:rsidRPr="00B4541D">
        <w:rPr>
          <w:rFonts w:cstheme="minorHAnsi"/>
          <w:color w:val="212529"/>
        </w:rPr>
        <w:t>–</w:t>
      </w:r>
      <w:r w:rsidRPr="00B4541D">
        <w:rPr>
          <w:rFonts w:cstheme="minorHAnsi"/>
          <w:color w:val="212529"/>
        </w:rPr>
        <w:t xml:space="preserve"> P</w:t>
      </w:r>
      <w:r w:rsidR="00046D6A" w:rsidRPr="00B4541D">
        <w:rPr>
          <w:rFonts w:cstheme="minorHAnsi"/>
          <w:color w:val="212529"/>
        </w:rPr>
        <w:t>ASIVA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20"/>
        <w:gridCol w:w="1960"/>
        <w:gridCol w:w="1900"/>
      </w:tblGrid>
      <w:tr w:rsidR="005563D0" w:rsidRPr="005563D0" w:rsidTr="005563D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PASIVA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5563D0" w:rsidRPr="005563D0" w:rsidTr="005563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 kapitál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563D0" w:rsidRPr="005563D0" w:rsidTr="005563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CF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Jmění účetní jednotky a upr</w:t>
            </w:r>
            <w:r w:rsidR="00931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avující </w:t>
            </w:r>
          </w:p>
          <w:p w:rsidR="005563D0" w:rsidRPr="005563D0" w:rsidRDefault="005563D0" w:rsidP="00523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pol</w:t>
            </w:r>
            <w:r w:rsidR="00523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ožky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4 689 985 026,98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4 904 099 987,95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4 872 544 847,04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Fondy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144 933 251,50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57 120 256,76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54 203 533,37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Výsledek hospodaření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1 279 396 174,02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1 130 095 261,44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996 208 676,06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Cizí zdroje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563D0" w:rsidRPr="005563D0" w:rsidTr="005563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Dlouhodobé závazky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284 746 530,45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260 113 217,07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331 475 996,04 Kč</w:t>
            </w:r>
          </w:p>
        </w:tc>
      </w:tr>
      <w:tr w:rsidR="005563D0" w:rsidRPr="005563D0" w:rsidTr="005563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Krátkodobé závazky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166 803 369,89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162 699 583,51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0" w:rsidRPr="005563D0" w:rsidRDefault="005563D0" w:rsidP="0055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563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124 179 179,53 Kč</w:t>
            </w:r>
          </w:p>
        </w:tc>
      </w:tr>
    </w:tbl>
    <w:p w:rsidR="00DB14B0" w:rsidRDefault="00DB14B0" w:rsidP="00E95FC4">
      <w:pPr>
        <w:rPr>
          <w:rFonts w:cstheme="minorHAnsi"/>
          <w:color w:val="212529"/>
          <w:sz w:val="18"/>
          <w:szCs w:val="18"/>
        </w:rPr>
      </w:pPr>
    </w:p>
    <w:p w:rsidR="00AA0F0D" w:rsidRPr="00AA0F0D" w:rsidRDefault="00AA0F0D" w:rsidP="008B4351">
      <w:pPr>
        <w:jc w:val="both"/>
        <w:rPr>
          <w:rFonts w:cstheme="minorHAnsi"/>
          <w:color w:val="212529"/>
        </w:rPr>
      </w:pPr>
      <w:r>
        <w:rPr>
          <w:rFonts w:cstheme="minorHAnsi"/>
          <w:color w:val="212529"/>
        </w:rPr>
        <w:t>Pokles u vlastního kapitálu (Jmění účetní jednotky a upravující položky) je způsoben</w:t>
      </w:r>
      <w:r w:rsidR="00CA3688">
        <w:rPr>
          <w:rFonts w:cstheme="minorHAnsi"/>
          <w:color w:val="212529"/>
        </w:rPr>
        <w:t xml:space="preserve"> např. </w:t>
      </w:r>
      <w:r>
        <w:rPr>
          <w:rFonts w:cstheme="minorHAnsi"/>
          <w:color w:val="212529"/>
        </w:rPr>
        <w:t xml:space="preserve">předáním majetku na příspěvkové organizace: PO </w:t>
      </w:r>
      <w:proofErr w:type="spellStart"/>
      <w:r>
        <w:rPr>
          <w:rFonts w:cstheme="minorHAnsi"/>
          <w:color w:val="212529"/>
        </w:rPr>
        <w:t>Seniorcentrum</w:t>
      </w:r>
      <w:proofErr w:type="spellEnd"/>
      <w:r>
        <w:rPr>
          <w:rFonts w:cstheme="minorHAnsi"/>
          <w:color w:val="212529"/>
        </w:rPr>
        <w:t xml:space="preserve"> Opava 108 203 tis. Kč + dotace 9 600 tis. Kč, ZŠ Opava – Komárov 18 478 tis. Kč, ZŠ Kylešovice 2 429 tis. Kč.  </w:t>
      </w:r>
      <w:r w:rsidR="004F25F2">
        <w:rPr>
          <w:rFonts w:cstheme="minorHAnsi"/>
          <w:color w:val="212529"/>
        </w:rPr>
        <w:t>K n</w:t>
      </w:r>
      <w:r w:rsidR="00DA5AED">
        <w:rPr>
          <w:rFonts w:cstheme="minorHAnsi"/>
          <w:color w:val="212529"/>
        </w:rPr>
        <w:t xml:space="preserve">avýšení vlastního kapitálu </w:t>
      </w:r>
      <w:r w:rsidR="004F25F2">
        <w:rPr>
          <w:rFonts w:cstheme="minorHAnsi"/>
          <w:color w:val="212529"/>
        </w:rPr>
        <w:t>došlo z důvodu t</w:t>
      </w:r>
      <w:r w:rsidR="003F077D">
        <w:rPr>
          <w:rFonts w:cstheme="minorHAnsi"/>
          <w:color w:val="212529"/>
        </w:rPr>
        <w:t>vorb</w:t>
      </w:r>
      <w:r w:rsidR="004F25F2">
        <w:rPr>
          <w:rFonts w:cstheme="minorHAnsi"/>
          <w:color w:val="212529"/>
        </w:rPr>
        <w:t>y</w:t>
      </w:r>
      <w:r w:rsidR="003F077D">
        <w:rPr>
          <w:rFonts w:cstheme="minorHAnsi"/>
          <w:color w:val="212529"/>
        </w:rPr>
        <w:t xml:space="preserve"> </w:t>
      </w:r>
      <w:r w:rsidR="001C03C3">
        <w:rPr>
          <w:rFonts w:cstheme="minorHAnsi"/>
          <w:color w:val="212529"/>
        </w:rPr>
        <w:t>F</w:t>
      </w:r>
      <w:r w:rsidR="003F077D">
        <w:rPr>
          <w:rFonts w:cstheme="minorHAnsi"/>
          <w:color w:val="212529"/>
        </w:rPr>
        <w:t>ond</w:t>
      </w:r>
      <w:r w:rsidR="00C17A52">
        <w:rPr>
          <w:rFonts w:cstheme="minorHAnsi"/>
          <w:color w:val="212529"/>
        </w:rPr>
        <w:t>u</w:t>
      </w:r>
      <w:r w:rsidR="003F077D">
        <w:rPr>
          <w:rFonts w:cstheme="minorHAnsi"/>
          <w:color w:val="212529"/>
        </w:rPr>
        <w:t xml:space="preserve"> </w:t>
      </w:r>
      <w:r w:rsidR="001C03C3">
        <w:rPr>
          <w:rFonts w:cstheme="minorHAnsi"/>
          <w:color w:val="212529"/>
        </w:rPr>
        <w:t>r</w:t>
      </w:r>
      <w:r w:rsidR="003F077D" w:rsidRPr="003F077D">
        <w:rPr>
          <w:rFonts w:cstheme="minorHAnsi"/>
          <w:color w:val="212529"/>
        </w:rPr>
        <w:t>ezerv</w:t>
      </w:r>
      <w:r w:rsidR="003F077D">
        <w:rPr>
          <w:rFonts w:cstheme="minorHAnsi"/>
          <w:color w:val="212529"/>
        </w:rPr>
        <w:t xml:space="preserve"> </w:t>
      </w:r>
      <w:r w:rsidR="003F077D" w:rsidRPr="003F077D">
        <w:rPr>
          <w:rFonts w:cstheme="minorHAnsi"/>
          <w:color w:val="212529"/>
        </w:rPr>
        <w:t xml:space="preserve">a rozvoje </w:t>
      </w:r>
      <w:r w:rsidR="003F077D">
        <w:rPr>
          <w:rFonts w:cstheme="minorHAnsi"/>
          <w:color w:val="212529"/>
        </w:rPr>
        <w:t xml:space="preserve">ve výši 83 220 tis. Kč, </w:t>
      </w:r>
      <w:r w:rsidR="001C03C3">
        <w:rPr>
          <w:rFonts w:cstheme="minorHAnsi"/>
          <w:color w:val="212529"/>
        </w:rPr>
        <w:t>Z</w:t>
      </w:r>
      <w:r w:rsidR="00C17A52">
        <w:rPr>
          <w:rFonts w:cstheme="minorHAnsi"/>
          <w:color w:val="212529"/>
        </w:rPr>
        <w:t xml:space="preserve">ajišťovacího fondu HKŘ 132 tis. Kč a </w:t>
      </w:r>
      <w:r w:rsidR="001C03C3">
        <w:rPr>
          <w:rFonts w:cstheme="minorHAnsi"/>
          <w:color w:val="212529"/>
        </w:rPr>
        <w:t>F</w:t>
      </w:r>
      <w:r w:rsidR="00C17A52">
        <w:rPr>
          <w:rFonts w:cstheme="minorHAnsi"/>
          <w:color w:val="212529"/>
        </w:rPr>
        <w:t>ondu obnovy vodovodů a kanalizací</w:t>
      </w:r>
      <w:r w:rsidR="001C03C3">
        <w:rPr>
          <w:rFonts w:cstheme="minorHAnsi"/>
          <w:color w:val="212529"/>
        </w:rPr>
        <w:t xml:space="preserve"> 3 420 tis. Kč. </w:t>
      </w:r>
      <w:r w:rsidR="006A7200">
        <w:rPr>
          <w:rFonts w:cstheme="minorHAnsi"/>
          <w:color w:val="212529"/>
        </w:rPr>
        <w:t xml:space="preserve">Dlouhodobé závazky </w:t>
      </w:r>
      <w:r w:rsidR="00866DB3">
        <w:rPr>
          <w:rFonts w:cstheme="minorHAnsi"/>
          <w:color w:val="212529"/>
        </w:rPr>
        <w:t>vykazují</w:t>
      </w:r>
      <w:r w:rsidR="000B14EE">
        <w:rPr>
          <w:rFonts w:cstheme="minorHAnsi"/>
          <w:color w:val="212529"/>
        </w:rPr>
        <w:t xml:space="preserve"> mj. </w:t>
      </w:r>
      <w:r w:rsidR="006A7200">
        <w:rPr>
          <w:rFonts w:cstheme="minorHAnsi"/>
          <w:color w:val="212529"/>
        </w:rPr>
        <w:t>zvýšen</w:t>
      </w:r>
      <w:r w:rsidR="00866DB3">
        <w:rPr>
          <w:rFonts w:cstheme="minorHAnsi"/>
          <w:color w:val="212529"/>
        </w:rPr>
        <w:t>í</w:t>
      </w:r>
      <w:r w:rsidR="006A7200">
        <w:rPr>
          <w:rFonts w:cstheme="minorHAnsi"/>
          <w:color w:val="212529"/>
        </w:rPr>
        <w:t xml:space="preserve"> o dlouhodobě přijatou zálohu na transfery</w:t>
      </w:r>
      <w:r w:rsidR="00021422">
        <w:rPr>
          <w:rFonts w:cstheme="minorHAnsi"/>
          <w:color w:val="212529"/>
        </w:rPr>
        <w:t xml:space="preserve"> -</w:t>
      </w:r>
      <w:r w:rsidR="006A7200">
        <w:rPr>
          <w:rFonts w:cstheme="minorHAnsi"/>
          <w:color w:val="212529"/>
        </w:rPr>
        <w:t xml:space="preserve"> dotac</w:t>
      </w:r>
      <w:r w:rsidR="00021422">
        <w:rPr>
          <w:rFonts w:cstheme="minorHAnsi"/>
          <w:color w:val="212529"/>
        </w:rPr>
        <w:t>i</w:t>
      </w:r>
      <w:r w:rsidR="006A7200">
        <w:rPr>
          <w:rFonts w:cstheme="minorHAnsi"/>
          <w:color w:val="212529"/>
        </w:rPr>
        <w:t xml:space="preserve"> na výměnu kotlů</w:t>
      </w:r>
      <w:r w:rsidR="00021422">
        <w:rPr>
          <w:rFonts w:cstheme="minorHAnsi"/>
          <w:color w:val="212529"/>
        </w:rPr>
        <w:t xml:space="preserve"> 14 670 tis. Kč.</w:t>
      </w:r>
      <w:r w:rsidR="006A7200">
        <w:rPr>
          <w:rFonts w:cstheme="minorHAnsi"/>
          <w:color w:val="212529"/>
        </w:rPr>
        <w:t xml:space="preserve"> </w:t>
      </w:r>
    </w:p>
    <w:p w:rsidR="00FD4F32" w:rsidRDefault="007841E1" w:rsidP="00F1751E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noProof/>
        </w:rPr>
        <w:drawing>
          <wp:inline distT="0" distB="0" distL="0" distR="0" wp14:anchorId="6180DE3F" wp14:editId="1A9AFC03">
            <wp:extent cx="5760720" cy="2019300"/>
            <wp:effectExtent l="0" t="0" r="1143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44A8" w:rsidRDefault="007444A8" w:rsidP="00F1751E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:rsidR="00FD4F32" w:rsidRDefault="002953C1" w:rsidP="007A1BB7">
      <w:pPr>
        <w:pStyle w:val="Normln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noProof/>
        </w:rPr>
        <w:drawing>
          <wp:inline distT="0" distB="0" distL="0" distR="0" wp14:anchorId="6993D442" wp14:editId="6742E122">
            <wp:extent cx="5760720" cy="3181985"/>
            <wp:effectExtent l="0" t="0" r="11430" b="1841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5473" w:rsidRPr="00B4541D" w:rsidRDefault="00675473" w:rsidP="007A1BB7">
      <w:pPr>
        <w:pStyle w:val="Normlnweb"/>
        <w:shd w:val="clear" w:color="auto" w:fill="FFFFFF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b/>
          <w:color w:val="212529"/>
          <w:sz w:val="22"/>
          <w:szCs w:val="22"/>
        </w:rPr>
        <w:lastRenderedPageBreak/>
        <w:t>2. VÝKAZ ZISKU A ZTRÁTY</w:t>
      </w:r>
      <w:r w:rsidR="00086890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 (VÝSLEDOVKA)</w:t>
      </w:r>
    </w:p>
    <w:p w:rsidR="00544452" w:rsidRDefault="00592528" w:rsidP="008B435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Výsledovka podává primárně informace </w:t>
      </w:r>
      <w:r w:rsidRPr="00B4541D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o </w:t>
      </w:r>
      <w:r w:rsidR="00514BCF" w:rsidRPr="00B4541D">
        <w:rPr>
          <w:rFonts w:asciiTheme="minorHAnsi" w:hAnsiTheme="minorHAnsi" w:cstheme="minorHAnsi"/>
          <w:bCs/>
          <w:color w:val="212529"/>
          <w:sz w:val="22"/>
          <w:szCs w:val="22"/>
        </w:rPr>
        <w:t>výsledku hospodaření účetní jednotky za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vykazované období. Podrobněji rozvádí rozvahovou položku </w:t>
      </w:r>
      <w:r w:rsidR="00514BCF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– výsledek hospodaření </w:t>
      </w:r>
      <w:r w:rsidR="00347665" w:rsidRPr="00B4541D">
        <w:rPr>
          <w:rFonts w:asciiTheme="minorHAnsi" w:hAnsiTheme="minorHAnsi" w:cstheme="minorHAnsi"/>
          <w:color w:val="212529"/>
          <w:sz w:val="22"/>
          <w:szCs w:val="22"/>
        </w:rPr>
        <w:t>běžného účetního období. Podstatou výkazu je porovnání nákladů a výnosů sledovaného období, které se účtují na akruálním principu. Akruální princip je jedna ze základních účetních zásad, která říká, že účtování nákladů a výnosů patří do období,</w:t>
      </w:r>
      <w:r w:rsidR="00B54813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se kterým věcně a časově souvisí, aniž by bylo bráno v úvahu, kdy došlo k reálnému pohybu peněz.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2164"/>
        <w:gridCol w:w="2000"/>
        <w:gridCol w:w="1960"/>
      </w:tblGrid>
      <w:tr w:rsidR="00D36134" w:rsidRPr="00D36134" w:rsidTr="00D36134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FA5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Tab. </w:t>
            </w:r>
            <w:proofErr w:type="gramStart"/>
            <w:r w:rsidR="00FA576A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VÝKAZ ZISKU A ZTRÁTY - NÁKLADY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6134" w:rsidRPr="00D36134" w:rsidTr="00D36134">
        <w:trPr>
          <w:trHeight w:val="288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6134" w:rsidRPr="00D36134" w:rsidTr="00D36134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</w:tr>
      <w:tr w:rsidR="00D36134" w:rsidRPr="00D36134" w:rsidTr="00D36134">
        <w:trPr>
          <w:trHeight w:val="28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Náklady z činnosti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938 816 674,16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808 052 112,64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726 835 066,50 Kč</w:t>
            </w:r>
          </w:p>
        </w:tc>
      </w:tr>
      <w:tr w:rsidR="00D36134" w:rsidRPr="00D36134" w:rsidTr="00D36134">
        <w:trPr>
          <w:trHeight w:val="28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Finanční náklady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4 342 129,91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8 190 655,42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16 717 378,89 Kč</w:t>
            </w:r>
          </w:p>
        </w:tc>
      </w:tr>
      <w:tr w:rsidR="00D36134" w:rsidRPr="00D36134" w:rsidTr="00D36134">
        <w:trPr>
          <w:trHeight w:val="28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844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Náklady na transfery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325 587 235,73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331 078 462,89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304 253 175,50 Kč</w:t>
            </w:r>
          </w:p>
        </w:tc>
      </w:tr>
      <w:tr w:rsidR="00D36134" w:rsidRPr="00D36134" w:rsidTr="00D36134">
        <w:trPr>
          <w:trHeight w:val="28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Daň z příjmů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46 792 750,00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23 689 230,00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31 959 810,00 Kč</w:t>
            </w:r>
          </w:p>
        </w:tc>
      </w:tr>
    </w:tbl>
    <w:p w:rsidR="00CA3688" w:rsidRDefault="00CA3688" w:rsidP="00CA3688">
      <w:pPr>
        <w:pStyle w:val="Normlnweb"/>
        <w:shd w:val="clear" w:color="auto" w:fill="FFFFFF"/>
        <w:spacing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:rsidR="00A56D49" w:rsidRDefault="00A56D49" w:rsidP="008B4351">
      <w:pPr>
        <w:pStyle w:val="Normlnweb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>Největší podíl na nákladech tvoří náklady z činnosti, zejména zajištění dopravní obslužnosti na území města Opavy, náklady na komunální a separovaný odpad, opravy a udržování komunikací, veřejného osvětlení, světelně řízených křižovatek, dále mzdové náklady.</w:t>
      </w:r>
    </w:p>
    <w:p w:rsidR="00750EE9" w:rsidRPr="00B4541D" w:rsidRDefault="00750EE9" w:rsidP="008B4351">
      <w:pPr>
        <w:pStyle w:val="Normlnweb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 xml:space="preserve">Náklady z činnosti v porovnání s předchozím účetním obdobím vykazují zvýšení u účtů:  548 Tvorba fondů 93 827 tis. Kč (příděly do účelových fondů + úroky z vkladů), účet 553 Prodaný dlouhodobý majetek 46 560 tis. Kč, 554 Prodané pozemky 57 221 </w:t>
      </w:r>
      <w:r w:rsidR="00EA4EA9">
        <w:rPr>
          <w:rFonts w:asciiTheme="minorHAnsi" w:hAnsiTheme="minorHAnsi" w:cstheme="minorHAnsi"/>
          <w:color w:val="212529"/>
          <w:sz w:val="22"/>
          <w:szCs w:val="22"/>
        </w:rPr>
        <w:t xml:space="preserve">tis. </w:t>
      </w:r>
      <w:r>
        <w:rPr>
          <w:rFonts w:asciiTheme="minorHAnsi" w:hAnsiTheme="minorHAnsi" w:cstheme="minorHAnsi"/>
          <w:color w:val="212529"/>
          <w:sz w:val="22"/>
          <w:szCs w:val="22"/>
        </w:rPr>
        <w:t>Kč.</w:t>
      </w:r>
    </w:p>
    <w:p w:rsidR="00750EE9" w:rsidRPr="00B4541D" w:rsidRDefault="00750EE9" w:rsidP="00A56D49">
      <w:pPr>
        <w:pStyle w:val="Normlnweb"/>
        <w:shd w:val="clear" w:color="auto" w:fill="FFFFFF"/>
        <w:spacing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:rsidR="00A56D49" w:rsidRDefault="00A56D49" w:rsidP="008B4351">
      <w:pPr>
        <w:pStyle w:val="Normlnweb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Příspěvky na provoz příspěvkovým organizacím, </w:t>
      </w:r>
      <w:r>
        <w:rPr>
          <w:rFonts w:asciiTheme="minorHAnsi" w:hAnsiTheme="minorHAnsi" w:cstheme="minorHAnsi"/>
          <w:color w:val="212529"/>
          <w:sz w:val="22"/>
          <w:szCs w:val="22"/>
        </w:rPr>
        <w:t>poskytnutí f</w:t>
      </w:r>
      <w:r w:rsidRPr="00DF4778">
        <w:rPr>
          <w:rFonts w:asciiTheme="minorHAnsi" w:hAnsiTheme="minorHAnsi" w:cstheme="minorHAnsi"/>
          <w:color w:val="212529"/>
          <w:sz w:val="22"/>
          <w:szCs w:val="22"/>
        </w:rPr>
        <w:t>inanční</w:t>
      </w:r>
      <w:r>
        <w:rPr>
          <w:rFonts w:asciiTheme="minorHAnsi" w:hAnsiTheme="minorHAnsi" w:cstheme="minorHAnsi"/>
          <w:color w:val="212529"/>
          <w:sz w:val="22"/>
          <w:szCs w:val="22"/>
        </w:rPr>
        <w:t>ch</w:t>
      </w:r>
      <w:r w:rsidRPr="00DF4778">
        <w:rPr>
          <w:rFonts w:asciiTheme="minorHAnsi" w:hAnsiTheme="minorHAnsi" w:cstheme="minorHAnsi"/>
          <w:color w:val="212529"/>
          <w:sz w:val="22"/>
          <w:szCs w:val="22"/>
        </w:rPr>
        <w:t xml:space="preserve"> a účelový</w:t>
      </w:r>
      <w:r>
        <w:rPr>
          <w:rFonts w:asciiTheme="minorHAnsi" w:hAnsiTheme="minorHAnsi" w:cstheme="minorHAnsi"/>
          <w:color w:val="212529"/>
          <w:sz w:val="22"/>
          <w:szCs w:val="22"/>
        </w:rPr>
        <w:t>ch</w:t>
      </w:r>
      <w:r w:rsidRPr="00DF4778">
        <w:rPr>
          <w:rFonts w:asciiTheme="minorHAnsi" w:hAnsiTheme="minorHAnsi" w:cstheme="minorHAnsi"/>
          <w:color w:val="212529"/>
          <w:sz w:val="22"/>
          <w:szCs w:val="22"/>
        </w:rPr>
        <w:t xml:space="preserve"> dar</w:t>
      </w:r>
      <w:r>
        <w:rPr>
          <w:rFonts w:asciiTheme="minorHAnsi" w:hAnsiTheme="minorHAnsi" w:cstheme="minorHAnsi"/>
          <w:color w:val="212529"/>
          <w:sz w:val="22"/>
          <w:szCs w:val="22"/>
        </w:rPr>
        <w:t>ů</w:t>
      </w:r>
      <w:r w:rsidRPr="00DF4778">
        <w:rPr>
          <w:rFonts w:asciiTheme="minorHAnsi" w:hAnsiTheme="minorHAnsi" w:cstheme="minorHAnsi"/>
          <w:color w:val="212529"/>
          <w:sz w:val="22"/>
          <w:szCs w:val="22"/>
        </w:rPr>
        <w:t xml:space="preserve"> pro živnostníky a malé a střední podniky zasažené </w:t>
      </w:r>
      <w:proofErr w:type="spellStart"/>
      <w:r w:rsidRPr="00DF4778">
        <w:rPr>
          <w:rFonts w:asciiTheme="minorHAnsi" w:hAnsiTheme="minorHAnsi" w:cstheme="minorHAnsi"/>
          <w:color w:val="212529"/>
          <w:sz w:val="22"/>
          <w:szCs w:val="22"/>
        </w:rPr>
        <w:t>koronavirovou</w:t>
      </w:r>
      <w:proofErr w:type="spellEnd"/>
      <w:r w:rsidRPr="00DF4778">
        <w:rPr>
          <w:rFonts w:asciiTheme="minorHAnsi" w:hAnsiTheme="minorHAnsi" w:cstheme="minorHAnsi"/>
          <w:color w:val="212529"/>
          <w:sz w:val="22"/>
          <w:szCs w:val="22"/>
        </w:rPr>
        <w:t xml:space="preserve"> pandemií (COVID – 19)</w:t>
      </w:r>
      <w:r>
        <w:rPr>
          <w:rFonts w:asciiTheme="minorHAnsi" w:hAnsiTheme="minorHAnsi" w:cstheme="minorHAnsi"/>
          <w:color w:val="212529"/>
          <w:sz w:val="22"/>
          <w:szCs w:val="22"/>
        </w:rPr>
        <w:t>,</w:t>
      </w:r>
      <w:r w:rsidRPr="00DF477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>vyúčtování poskytnutých dotací, grantů a jejich dohad jsou náplní další položky výkazu -</w:t>
      </w:r>
      <w:r w:rsidR="005377E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>Náklady na transfery.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</w:p>
    <w:p w:rsidR="00D36134" w:rsidRDefault="00D36134" w:rsidP="007A1BB7">
      <w:pPr>
        <w:pStyle w:val="Normln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961"/>
        <w:gridCol w:w="2000"/>
        <w:gridCol w:w="1960"/>
      </w:tblGrid>
      <w:tr w:rsidR="00D36134" w:rsidRPr="00D36134" w:rsidTr="00D36134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FA5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Tab. </w:t>
            </w:r>
            <w:proofErr w:type="gramStart"/>
            <w:r w:rsidR="00FA576A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VÝKAZ ZISKU A ZTRÁTY  - VÝNOSY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6134" w:rsidRPr="00D36134" w:rsidTr="00D36134">
        <w:trPr>
          <w:trHeight w:val="288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6134" w:rsidRPr="00D36134" w:rsidTr="00D36134">
        <w:trPr>
          <w:trHeight w:val="28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</w:tr>
      <w:tr w:rsidR="00D36134" w:rsidRPr="00D36134" w:rsidTr="00D36134">
        <w:trPr>
          <w:trHeight w:val="288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Výnosy z činnosti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220 727 587,01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168 523 332,48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325 673 374,05 Kč</w:t>
            </w:r>
          </w:p>
        </w:tc>
      </w:tr>
      <w:tr w:rsidR="00D36134" w:rsidRPr="00D36134" w:rsidTr="00D36134">
        <w:trPr>
          <w:trHeight w:val="288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Finanční výnosy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77 321 109,38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9 351 812,99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5 312 599,19 Kč</w:t>
            </w:r>
          </w:p>
        </w:tc>
      </w:tr>
      <w:tr w:rsidR="00D36134" w:rsidRPr="00D36134" w:rsidTr="00D36134">
        <w:trPr>
          <w:trHeight w:val="288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Výnosy z transferů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194 932 544,28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114 003 248,07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116 074 340,32 Kč</w:t>
            </w:r>
          </w:p>
        </w:tc>
      </w:tr>
      <w:tr w:rsidR="00D36134" w:rsidRPr="00D36134" w:rsidTr="00D36134">
        <w:trPr>
          <w:trHeight w:val="288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Výnosy ze sdílených daní a poplatků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971 858 461,71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1 013 018 652,79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4" w:rsidRPr="00D36134" w:rsidRDefault="00D36134" w:rsidP="00D3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6134">
              <w:rPr>
                <w:rFonts w:ascii="Calibri" w:eastAsia="Times New Roman" w:hAnsi="Calibri" w:cs="Calibri"/>
                <w:color w:val="000000"/>
                <w:lang w:eastAsia="cs-CZ"/>
              </w:rPr>
              <w:t>959 581 017,74 Kč</w:t>
            </w:r>
          </w:p>
        </w:tc>
      </w:tr>
    </w:tbl>
    <w:p w:rsidR="00A56D49" w:rsidRDefault="00A56D49" w:rsidP="00B677EE">
      <w:pPr>
        <w:pStyle w:val="Normlnweb"/>
        <w:shd w:val="clear" w:color="auto" w:fill="FFFFFF"/>
        <w:spacing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:rsidR="00846324" w:rsidRPr="00B4541D" w:rsidRDefault="00846324" w:rsidP="008B4351">
      <w:pPr>
        <w:pStyle w:val="Normlnweb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Výnosy z činnosti v porovnání s předchozím obdobím vykazují n</w:t>
      </w:r>
      <w:r w:rsidR="000731C3">
        <w:rPr>
          <w:rFonts w:asciiTheme="minorHAnsi" w:hAnsiTheme="minorHAnsi" w:cstheme="minorHAnsi"/>
          <w:color w:val="212529"/>
          <w:sz w:val="22"/>
          <w:szCs w:val="22"/>
        </w:rPr>
        <w:t>avýšení u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účt</w:t>
      </w:r>
      <w:r w:rsidR="00660824">
        <w:rPr>
          <w:rFonts w:asciiTheme="minorHAnsi" w:hAnsiTheme="minorHAnsi" w:cstheme="minorHAnsi"/>
          <w:color w:val="212529"/>
          <w:sz w:val="22"/>
          <w:szCs w:val="22"/>
        </w:rPr>
        <w:t>u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647 Výnosy z prodeje pozemk</w:t>
      </w:r>
      <w:r w:rsidR="008E3D03">
        <w:rPr>
          <w:rFonts w:asciiTheme="minorHAnsi" w:hAnsiTheme="minorHAnsi" w:cstheme="minorHAnsi"/>
          <w:color w:val="212529"/>
          <w:sz w:val="22"/>
          <w:szCs w:val="22"/>
        </w:rPr>
        <w:t>ů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63 604 tis. Kč</w:t>
      </w:r>
      <w:r w:rsidR="00660824">
        <w:rPr>
          <w:rFonts w:asciiTheme="minorHAnsi" w:hAnsiTheme="minorHAnsi" w:cstheme="minorHAnsi"/>
          <w:color w:val="212529"/>
          <w:sz w:val="22"/>
          <w:szCs w:val="22"/>
        </w:rPr>
        <w:t xml:space="preserve">. Finanční výnosy </w:t>
      </w:r>
      <w:r w:rsidR="00AC120E">
        <w:rPr>
          <w:rFonts w:asciiTheme="minorHAnsi" w:hAnsiTheme="minorHAnsi" w:cstheme="minorHAnsi"/>
          <w:color w:val="212529"/>
          <w:sz w:val="22"/>
          <w:szCs w:val="22"/>
        </w:rPr>
        <w:t xml:space="preserve">- </w:t>
      </w:r>
      <w:r w:rsidR="00660824">
        <w:rPr>
          <w:rFonts w:asciiTheme="minorHAnsi" w:hAnsiTheme="minorHAnsi" w:cstheme="minorHAnsi"/>
          <w:color w:val="212529"/>
          <w:sz w:val="22"/>
          <w:szCs w:val="22"/>
        </w:rPr>
        <w:t xml:space="preserve">navýšení </w:t>
      </w:r>
      <w:r w:rsidR="00AC120E">
        <w:rPr>
          <w:rFonts w:asciiTheme="minorHAnsi" w:hAnsiTheme="minorHAnsi" w:cstheme="minorHAnsi"/>
          <w:color w:val="212529"/>
          <w:sz w:val="22"/>
          <w:szCs w:val="22"/>
        </w:rPr>
        <w:t>u</w:t>
      </w:r>
      <w:r w:rsidR="00660824">
        <w:rPr>
          <w:rFonts w:asciiTheme="minorHAnsi" w:hAnsiTheme="minorHAnsi" w:cstheme="minorHAnsi"/>
          <w:color w:val="212529"/>
          <w:sz w:val="22"/>
          <w:szCs w:val="22"/>
        </w:rPr>
        <w:t xml:space="preserve"> účt</w:t>
      </w:r>
      <w:r w:rsidR="00AC120E">
        <w:rPr>
          <w:rFonts w:asciiTheme="minorHAnsi" w:hAnsiTheme="minorHAnsi" w:cstheme="minorHAnsi"/>
          <w:color w:val="212529"/>
          <w:sz w:val="22"/>
          <w:szCs w:val="22"/>
        </w:rPr>
        <w:t>u</w:t>
      </w:r>
      <w:r w:rsidR="00660824">
        <w:rPr>
          <w:rFonts w:asciiTheme="minorHAnsi" w:hAnsiTheme="minorHAnsi" w:cstheme="minorHAnsi"/>
          <w:color w:val="212529"/>
          <w:sz w:val="22"/>
          <w:szCs w:val="22"/>
        </w:rPr>
        <w:t xml:space="preserve"> 664 Výnosy z přecenění na reálnou hodnotu 74 116 tis. Kč. V</w:t>
      </w:r>
      <w:r>
        <w:rPr>
          <w:rFonts w:asciiTheme="minorHAnsi" w:hAnsiTheme="minorHAnsi" w:cstheme="minorHAnsi"/>
          <w:color w:val="212529"/>
          <w:sz w:val="22"/>
          <w:szCs w:val="22"/>
        </w:rPr>
        <w:t>ýnosy z transferů - navýšení o jednorázový nenávratný příspěvek SARC Cov-2 poskytnutý Ministerstvem financí ve výši 70 56</w:t>
      </w:r>
      <w:r w:rsidR="008E3D03">
        <w:rPr>
          <w:rFonts w:asciiTheme="minorHAnsi" w:hAnsiTheme="minorHAnsi" w:cstheme="minorHAnsi"/>
          <w:color w:val="212529"/>
          <w:sz w:val="22"/>
          <w:szCs w:val="22"/>
        </w:rPr>
        <w:t>2</w:t>
      </w:r>
      <w:r>
        <w:rPr>
          <w:rFonts w:asciiTheme="minorHAnsi" w:hAnsiTheme="minorHAnsi" w:cstheme="minorHAnsi"/>
          <w:color w:val="212529"/>
          <w:sz w:val="22"/>
          <w:szCs w:val="22"/>
        </w:rPr>
        <w:t> 500 Kč.</w:t>
      </w:r>
    </w:p>
    <w:p w:rsidR="001B7F94" w:rsidRDefault="001B7F94" w:rsidP="003A457D">
      <w:pPr>
        <w:pStyle w:val="Normlnweb"/>
        <w:shd w:val="clear" w:color="auto" w:fill="FFFFFF"/>
        <w:spacing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</w:p>
    <w:p w:rsidR="00263738" w:rsidRPr="003A457D" w:rsidRDefault="002B4A2F" w:rsidP="003A457D">
      <w:pPr>
        <w:pStyle w:val="Normlnweb"/>
        <w:shd w:val="clear" w:color="auto" w:fill="FFFFFF"/>
        <w:spacing w:after="12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Výsledek hospodaření běžného účetního období za rok </w:t>
      </w:r>
      <w:r w:rsidR="000731C3">
        <w:rPr>
          <w:rFonts w:asciiTheme="minorHAnsi" w:hAnsiTheme="minorHAnsi" w:cstheme="minorHAnsi"/>
          <w:color w:val="212529"/>
          <w:sz w:val="22"/>
          <w:szCs w:val="22"/>
        </w:rPr>
        <w:t>2020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činí </w:t>
      </w:r>
      <w:r w:rsidR="000731C3">
        <w:rPr>
          <w:rFonts w:asciiTheme="minorHAnsi" w:hAnsiTheme="minorHAnsi" w:cstheme="minorHAnsi"/>
          <w:color w:val="212529"/>
          <w:sz w:val="22"/>
          <w:szCs w:val="22"/>
        </w:rPr>
        <w:t>149 301</w:t>
      </w:r>
      <w:r w:rsidR="004A676E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tis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>. Kč</w:t>
      </w:r>
      <w:r w:rsidR="003A457D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:rsidR="00086D66" w:rsidRDefault="00032ACF" w:rsidP="007A1BB7">
      <w:pPr>
        <w:pStyle w:val="Normlnweb"/>
        <w:shd w:val="clear" w:color="auto" w:fill="FFFFFF"/>
        <w:rPr>
          <w:rFonts w:asciiTheme="minorHAnsi" w:hAnsiTheme="minorHAnsi" w:cstheme="minorHAnsi"/>
          <w:b/>
          <w:color w:val="212529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A5593B6" wp14:editId="7C8DAD4B">
            <wp:extent cx="5760720" cy="3321050"/>
            <wp:effectExtent l="0" t="0" r="11430" b="1270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2ACF" w:rsidRDefault="00032ACF" w:rsidP="007A1BB7">
      <w:pPr>
        <w:pStyle w:val="Normlnweb"/>
        <w:shd w:val="clear" w:color="auto" w:fill="FFFFFF"/>
        <w:rPr>
          <w:rFonts w:asciiTheme="minorHAnsi" w:hAnsiTheme="minorHAnsi" w:cstheme="minorHAnsi"/>
          <w:b/>
          <w:color w:val="212529"/>
          <w:sz w:val="22"/>
          <w:szCs w:val="22"/>
        </w:rPr>
      </w:pPr>
      <w:r>
        <w:rPr>
          <w:noProof/>
        </w:rPr>
        <w:drawing>
          <wp:inline distT="0" distB="0" distL="0" distR="0" wp14:anchorId="73FD5ED7" wp14:editId="2072A683">
            <wp:extent cx="5760720" cy="3921125"/>
            <wp:effectExtent l="0" t="0" r="11430" b="317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576A" w:rsidRDefault="00FA576A" w:rsidP="009E5188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FA576A" w:rsidRDefault="00FA576A" w:rsidP="009E5188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FA576A" w:rsidRDefault="00FA576A" w:rsidP="009E5188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FA576A" w:rsidRDefault="00FA576A" w:rsidP="009E5188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FA576A" w:rsidRDefault="00FA576A" w:rsidP="009E5188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FA576A" w:rsidRDefault="00FA576A" w:rsidP="009E5188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FA576A" w:rsidRDefault="00FA576A" w:rsidP="009E5188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D706EA" w:rsidRDefault="004A676E" w:rsidP="009E5188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b/>
          <w:color w:val="212529"/>
          <w:sz w:val="22"/>
          <w:szCs w:val="22"/>
        </w:rPr>
        <w:lastRenderedPageBreak/>
        <w:t>3. PŘÍLOHA</w:t>
      </w:r>
    </w:p>
    <w:p w:rsidR="004A676E" w:rsidRPr="00D706EA" w:rsidRDefault="00160463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Výkaz Příloha se skládá z textových a číselných částí. Uvádějí se zde pouze aktuální informace, vztahující se k danému účetnímu období a jsou určeny jako doplňující </w:t>
      </w:r>
      <w:r w:rsidR="00243099" w:rsidRPr="00B4541D">
        <w:rPr>
          <w:rFonts w:asciiTheme="minorHAnsi" w:hAnsiTheme="minorHAnsi" w:cstheme="minorHAnsi"/>
          <w:color w:val="212529"/>
          <w:sz w:val="22"/>
          <w:szCs w:val="22"/>
        </w:rPr>
        <w:t>z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droj informací, které nelze přímo vyčíst z výkazů </w:t>
      </w:r>
      <w:r w:rsidR="009B057E">
        <w:rPr>
          <w:rFonts w:asciiTheme="minorHAnsi" w:hAnsiTheme="minorHAnsi" w:cstheme="minorHAnsi"/>
          <w:color w:val="212529"/>
          <w:sz w:val="22"/>
          <w:szCs w:val="22"/>
        </w:rPr>
        <w:t xml:space="preserve">- 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>Rozvaha a Výkaz zisku a ztráty.</w:t>
      </w:r>
    </w:p>
    <w:p w:rsidR="00D706EA" w:rsidRDefault="00D706EA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9E5188" w:rsidRDefault="00160463" w:rsidP="009E5188">
      <w:pPr>
        <w:pStyle w:val="Normlnweb"/>
        <w:shd w:val="clear" w:color="auto" w:fill="FFFFFF"/>
        <w:spacing w:before="100" w:beforeAutospacing="1" w:after="0" w:afterAutospacing="0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4. </w:t>
      </w:r>
      <w:r w:rsidR="00775314" w:rsidRPr="00B4541D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PŘEHLED O PENĚŽNÍCH TOCÍCH </w:t>
      </w:r>
    </w:p>
    <w:p w:rsidR="00160463" w:rsidRPr="009E5188" w:rsidRDefault="00531274" w:rsidP="008B4351">
      <w:pPr>
        <w:pStyle w:val="Normlnweb"/>
        <w:shd w:val="clear" w:color="auto" w:fill="FFFFFF"/>
        <w:spacing w:before="100" w:beforeAutospacing="1" w:after="0" w:afterAutospacing="0"/>
        <w:jc w:val="both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Přehled o peněžních tocích zobrazuje stav peněžních prostředků účetní jednotky k počátku běžného účetního období. Dále zobrazuje jejich zdroje, položky, na které byly v průběhu roku běžného účetního období vynaloženy (tedy vysvětluje příčiny přírůstku nebo úbytku peněžních prostředků v provozní činnosti, v investiční činnosti a finanční činnosti), a zůstatek k rozvahovému dni běžného účetního období. </w:t>
      </w:r>
    </w:p>
    <w:p w:rsidR="00531274" w:rsidRPr="00B4541D" w:rsidRDefault="00531274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>Hlavním účelem přehledu peněžních toků je poskytnutí podrobných údajů o výsledku finančního řízení. Uvádí přímo údaje, které by jinak odběratelé účetních informací museli získávat podrobnou analýzou rozvahy, výsledovky a přílohy k účetním výkazům.</w:t>
      </w:r>
    </w:p>
    <w:p w:rsidR="00DC2EDF" w:rsidRPr="00B4541D" w:rsidRDefault="00DC2EDF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5. </w:t>
      </w:r>
      <w:r w:rsidR="0083320F" w:rsidRPr="00B4541D">
        <w:rPr>
          <w:rFonts w:asciiTheme="minorHAnsi" w:hAnsiTheme="minorHAnsi" w:cstheme="minorHAnsi"/>
          <w:b/>
          <w:color w:val="212529"/>
          <w:sz w:val="22"/>
          <w:szCs w:val="22"/>
        </w:rPr>
        <w:t>PŘEHLED O ZMĚNÁCH VLASTNÍHO KAPITÁLU</w:t>
      </w:r>
    </w:p>
    <w:p w:rsidR="000F1093" w:rsidRDefault="00800F45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>Výkaz přehled o změnách vlastního kapitálu je zpracován podle § 44 vyhl</w:t>
      </w:r>
      <w:r w:rsidR="00263738">
        <w:rPr>
          <w:rFonts w:asciiTheme="minorHAnsi" w:hAnsiTheme="minorHAnsi" w:cstheme="minorHAnsi"/>
          <w:color w:val="212529"/>
          <w:sz w:val="22"/>
          <w:szCs w:val="22"/>
        </w:rPr>
        <w:t>ášky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9444E3" w:rsidRPr="00B4541D">
        <w:rPr>
          <w:rFonts w:asciiTheme="minorHAnsi" w:hAnsiTheme="minorHAnsi" w:cstheme="minorHAnsi"/>
          <w:color w:val="212529"/>
          <w:sz w:val="22"/>
          <w:szCs w:val="22"/>
        </w:rPr>
        <w:t>č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="009444E3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>4</w:t>
      </w:r>
      <w:r w:rsidR="009444E3" w:rsidRPr="00B4541D">
        <w:rPr>
          <w:rFonts w:asciiTheme="minorHAnsi" w:hAnsiTheme="minorHAnsi" w:cstheme="minorHAnsi"/>
          <w:color w:val="212529"/>
          <w:sz w:val="22"/>
          <w:szCs w:val="22"/>
        </w:rPr>
        <w:t>1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>0/2009 Sb. a zobrazuje stav vlastního kapitálu účetní jednot</w:t>
      </w:r>
      <w:r w:rsidR="009444E3" w:rsidRPr="00B4541D">
        <w:rPr>
          <w:rFonts w:asciiTheme="minorHAnsi" w:hAnsiTheme="minorHAnsi" w:cstheme="minorHAnsi"/>
          <w:color w:val="212529"/>
          <w:sz w:val="22"/>
          <w:szCs w:val="22"/>
        </w:rPr>
        <w:t>k</w:t>
      </w:r>
      <w:r w:rsidRPr="00B4541D">
        <w:rPr>
          <w:rFonts w:asciiTheme="minorHAnsi" w:hAnsiTheme="minorHAnsi" w:cstheme="minorHAnsi"/>
          <w:color w:val="212529"/>
          <w:sz w:val="22"/>
          <w:szCs w:val="22"/>
        </w:rPr>
        <w:t>y a jeho jednotlivých složek k rozvahovému dni minulého období, jeho zvýšení a snížení v průběhu běžného účetního období a stav k sestavení účetní závěrky.</w:t>
      </w:r>
    </w:p>
    <w:p w:rsidR="0052191F" w:rsidRPr="00B4541D" w:rsidRDefault="001B5FF4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6. ZPRÁVA O VÝSLEDKU ŘÁDNÉ INVENTARIZACE </w:t>
      </w:r>
    </w:p>
    <w:p w:rsidR="009B571F" w:rsidRPr="00B4541D" w:rsidRDefault="003E32CF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 xml:space="preserve">V souladu s dodatkem </w:t>
      </w:r>
      <w:r w:rsidR="00CC403A">
        <w:rPr>
          <w:rFonts w:asciiTheme="minorHAnsi" w:hAnsiTheme="minorHAnsi" w:cstheme="minorHAnsi"/>
          <w:color w:val="212529"/>
          <w:sz w:val="22"/>
          <w:szCs w:val="22"/>
        </w:rPr>
        <w:t xml:space="preserve">č. 1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ke Směrnici o inventarizaci </w:t>
      </w:r>
      <w:r w:rsidR="001B5FF4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ze dne </w:t>
      </w: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4.11.2020</w:t>
      </w:r>
      <w:proofErr w:type="gramEnd"/>
      <w:r w:rsidR="00D604EC">
        <w:rPr>
          <w:rFonts w:asciiTheme="minorHAnsi" w:hAnsiTheme="minorHAnsi" w:cstheme="minorHAnsi"/>
          <w:color w:val="212529"/>
          <w:sz w:val="22"/>
          <w:szCs w:val="22"/>
        </w:rPr>
        <w:t xml:space="preserve"> z důvodu nepříznivé epidemiologické situace,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byla fyzická inventura hmotného majetku  nahrazena jiným průkazným způsobem tzv. dokladovou inventurou k 31.12.2020. Inventarizace majetku a závazků, účtů skupiny 40, 41, 43, 44 a </w:t>
      </w:r>
      <w:r w:rsidR="001B5FF4" w:rsidRPr="00B4541D">
        <w:rPr>
          <w:rFonts w:asciiTheme="minorHAnsi" w:hAnsiTheme="minorHAnsi" w:cstheme="minorHAnsi"/>
          <w:color w:val="212529"/>
          <w:sz w:val="22"/>
          <w:szCs w:val="22"/>
        </w:rPr>
        <w:t>podrozvahových účtů</w:t>
      </w:r>
      <w:r w:rsidR="00212C2E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proběhly řádně, byly zjištěny stavy a ověřeny na stav účetní a následně zaznamenány v inventurních soupisech.</w:t>
      </w:r>
      <w:r w:rsidR="009B571F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Předkládáme tímto zprávu o provedených inventarizacích</w:t>
      </w:r>
      <w:r w:rsidR="00237C13">
        <w:rPr>
          <w:rFonts w:asciiTheme="minorHAnsi" w:hAnsiTheme="minorHAnsi" w:cstheme="minorHAnsi"/>
          <w:color w:val="212529"/>
          <w:sz w:val="22"/>
          <w:szCs w:val="22"/>
        </w:rPr>
        <w:t>,</w:t>
      </w:r>
      <w:r w:rsidR="009B571F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237C13">
        <w:rPr>
          <w:rFonts w:asciiTheme="minorHAnsi" w:hAnsiTheme="minorHAnsi" w:cstheme="minorHAnsi"/>
          <w:color w:val="212529"/>
          <w:sz w:val="22"/>
          <w:szCs w:val="22"/>
        </w:rPr>
        <w:t>schválenou ÚIK</w:t>
      </w:r>
      <w:r w:rsidR="00FF47B0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237C13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A306C5">
        <w:rPr>
          <w:rFonts w:asciiTheme="minorHAnsi" w:hAnsiTheme="minorHAnsi" w:cstheme="minorHAnsi"/>
          <w:color w:val="212529"/>
          <w:sz w:val="22"/>
          <w:szCs w:val="22"/>
        </w:rPr>
        <w:t xml:space="preserve">dne </w:t>
      </w:r>
      <w:proofErr w:type="gramStart"/>
      <w:r w:rsidR="008A366D">
        <w:rPr>
          <w:rFonts w:asciiTheme="minorHAnsi" w:hAnsiTheme="minorHAnsi" w:cstheme="minorHAnsi"/>
          <w:color w:val="212529"/>
          <w:sz w:val="22"/>
          <w:szCs w:val="22"/>
        </w:rPr>
        <w:t>4.5.2021</w:t>
      </w:r>
      <w:proofErr w:type="gramEnd"/>
      <w:r w:rsidR="008A366D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:rsidR="00212C2E" w:rsidRPr="00B4541D" w:rsidRDefault="00212C2E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b/>
          <w:color w:val="212529"/>
          <w:sz w:val="22"/>
          <w:szCs w:val="22"/>
        </w:rPr>
        <w:t>7. ZPRÁVA O VÝSLEDKU PŘEZKUMU HOSPODAŘENÍ</w:t>
      </w:r>
    </w:p>
    <w:p w:rsidR="009B571F" w:rsidRPr="00B4541D" w:rsidRDefault="00212C2E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Přezkum hospodaření je prováděn dle zákona 420/2004 Sb. </w:t>
      </w:r>
      <w:r w:rsidR="009B571F" w:rsidRPr="00B4541D">
        <w:rPr>
          <w:rFonts w:asciiTheme="minorHAnsi" w:hAnsiTheme="minorHAnsi" w:cstheme="minorHAnsi"/>
          <w:color w:val="212529"/>
          <w:sz w:val="22"/>
          <w:szCs w:val="22"/>
        </w:rPr>
        <w:t xml:space="preserve">Na základě provedeného přezkoumání hospodaření firmou HZ BRNO, spol. s.r.o. nebyly zjištěny nedostatky. </w:t>
      </w:r>
    </w:p>
    <w:p w:rsidR="001B5FF4" w:rsidRDefault="004E64C2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4E64C2">
        <w:rPr>
          <w:rFonts w:asciiTheme="minorHAnsi" w:hAnsiTheme="minorHAnsi" w:cstheme="minorHAnsi"/>
          <w:b/>
          <w:color w:val="212529"/>
          <w:sz w:val="22"/>
          <w:szCs w:val="22"/>
        </w:rPr>
        <w:t>8. MONITORING HOSPODAŘENÍ ÚZEMNÍCH SAMOSPRÁVNÝCH CELKŮ</w:t>
      </w:r>
    </w:p>
    <w:p w:rsidR="000F701F" w:rsidRPr="009E5188" w:rsidRDefault="004E64C2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Monitoring slouží pro hodnocení hospodářské situace obcí a krajů, přičemž je založen na sledování soustavy osmnácti ukazatelů, které vychází z finanční</w:t>
      </w:r>
      <w:r w:rsidR="000F701F">
        <w:rPr>
          <w:rFonts w:asciiTheme="minorHAnsi" w:hAnsiTheme="minorHAnsi" w:cstheme="minorHAnsi"/>
          <w:color w:val="212529"/>
          <w:sz w:val="22"/>
          <w:szCs w:val="22"/>
        </w:rPr>
        <w:t>ch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a účetních výkazů zasílaných do systému Státní pokladny. Za stěžejní jsou považovány </w:t>
      </w:r>
      <w:r w:rsidRPr="00237C13">
        <w:rPr>
          <w:rFonts w:asciiTheme="minorHAnsi" w:hAnsiTheme="minorHAnsi" w:cstheme="minorHAnsi"/>
          <w:b/>
          <w:color w:val="212529"/>
          <w:sz w:val="22"/>
          <w:szCs w:val="22"/>
        </w:rPr>
        <w:t>tři následující ukazatele</w:t>
      </w:r>
      <w:r>
        <w:rPr>
          <w:rFonts w:asciiTheme="minorHAnsi" w:hAnsiTheme="minorHAnsi" w:cstheme="minorHAnsi"/>
          <w:color w:val="212529"/>
          <w:sz w:val="22"/>
          <w:szCs w:val="22"/>
        </w:rPr>
        <w:t>, které označujeme jako monitorující:</w:t>
      </w:r>
    </w:p>
    <w:p w:rsidR="00FD4F32" w:rsidRDefault="00CB28A9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b/>
          <w:color w:val="212529"/>
          <w:sz w:val="22"/>
          <w:szCs w:val="22"/>
        </w:rPr>
        <w:t>a</w:t>
      </w:r>
      <w:r w:rsidR="004E64C2" w:rsidRPr="00237C13">
        <w:rPr>
          <w:rFonts w:asciiTheme="minorHAnsi" w:hAnsiTheme="minorHAnsi" w:cstheme="minorHAnsi"/>
          <w:b/>
          <w:color w:val="212529"/>
          <w:sz w:val="22"/>
          <w:szCs w:val="22"/>
        </w:rPr>
        <w:t>) Pravidlo</w:t>
      </w:r>
      <w:r w:rsidR="00237C13" w:rsidRPr="00237C13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 </w:t>
      </w:r>
      <w:r w:rsidR="004E64C2" w:rsidRPr="00237C13">
        <w:rPr>
          <w:rFonts w:asciiTheme="minorHAnsi" w:hAnsiTheme="minorHAnsi" w:cstheme="minorHAnsi"/>
          <w:b/>
          <w:color w:val="212529"/>
          <w:sz w:val="22"/>
          <w:szCs w:val="22"/>
        </w:rPr>
        <w:t>rozpočtové odpovědnosti</w:t>
      </w:r>
      <w:r w:rsidR="004E64C2">
        <w:rPr>
          <w:rFonts w:asciiTheme="minorHAnsi" w:hAnsiTheme="minorHAnsi" w:cstheme="minorHAnsi"/>
          <w:color w:val="212529"/>
          <w:sz w:val="22"/>
          <w:szCs w:val="22"/>
        </w:rPr>
        <w:t xml:space="preserve"> (</w:t>
      </w:r>
      <w:r w:rsidR="00237C13">
        <w:rPr>
          <w:rFonts w:asciiTheme="minorHAnsi" w:hAnsiTheme="minorHAnsi" w:cstheme="minorHAnsi"/>
          <w:color w:val="212529"/>
          <w:sz w:val="22"/>
          <w:szCs w:val="22"/>
        </w:rPr>
        <w:t xml:space="preserve">§ 17 zákona č. 23/2017 Sb. o pravidlech rozpočtové odpovědnosti) </w:t>
      </w:r>
    </w:p>
    <w:p w:rsidR="00237C13" w:rsidRDefault="00237C13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color w:val="212529"/>
          <w:sz w:val="22"/>
          <w:szCs w:val="22"/>
        </w:rPr>
      </w:pPr>
      <w:r w:rsidRPr="00237C13">
        <w:rPr>
          <w:rFonts w:asciiTheme="minorHAnsi" w:hAnsiTheme="minorHAnsi" w:cstheme="minorHAnsi"/>
          <w:color w:val="212529"/>
          <w:sz w:val="22"/>
          <w:szCs w:val="22"/>
        </w:rPr>
        <w:lastRenderedPageBreak/>
        <w:t>- podíl dluhu k průměru příjmů za poslední 4 roky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046513">
        <w:rPr>
          <w:rFonts w:asciiTheme="minorHAnsi" w:hAnsiTheme="minorHAnsi" w:cstheme="minorHAnsi"/>
          <w:color w:val="212529"/>
          <w:sz w:val="22"/>
          <w:szCs w:val="22"/>
        </w:rPr>
        <w:t>(</w:t>
      </w:r>
      <w:r>
        <w:rPr>
          <w:rFonts w:asciiTheme="minorHAnsi" w:hAnsiTheme="minorHAnsi" w:cstheme="minorHAnsi"/>
          <w:color w:val="212529"/>
          <w:sz w:val="22"/>
          <w:szCs w:val="22"/>
        </w:rPr>
        <w:t>hodnota by neměla překročit 60 %</w:t>
      </w:r>
      <w:r w:rsidR="00046513">
        <w:rPr>
          <w:rFonts w:asciiTheme="minorHAnsi" w:hAnsiTheme="minorHAnsi" w:cstheme="minorHAnsi"/>
          <w:color w:val="212529"/>
          <w:sz w:val="22"/>
          <w:szCs w:val="22"/>
        </w:rPr>
        <w:t>)</w:t>
      </w:r>
    </w:p>
    <w:tbl>
      <w:tblPr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2140"/>
        <w:gridCol w:w="960"/>
      </w:tblGrid>
      <w:tr w:rsidR="000C60E8" w:rsidRPr="000C60E8" w:rsidTr="000C60E8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zadluženost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průměr příjmů za poslední 4 roky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hodnota ukazatele</w:t>
            </w:r>
          </w:p>
        </w:tc>
      </w:tr>
      <w:tr w:rsidR="000C60E8" w:rsidRPr="000C60E8" w:rsidTr="000C60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307 926 123,38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1 246 143 733,97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24,71%</w:t>
            </w:r>
          </w:p>
        </w:tc>
      </w:tr>
      <w:tr w:rsidR="000C60E8" w:rsidRPr="000C60E8" w:rsidTr="000C60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240 089 602,18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1 346 734 552,50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17,83%</w:t>
            </w:r>
          </w:p>
        </w:tc>
      </w:tr>
      <w:tr w:rsidR="000C60E8" w:rsidRPr="000C60E8" w:rsidTr="000C60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252 548 167,71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1 410 483 299,04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E8" w:rsidRPr="000C60E8" w:rsidRDefault="000C60E8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0E8">
              <w:rPr>
                <w:rFonts w:ascii="Calibri" w:eastAsia="Times New Roman" w:hAnsi="Calibri" w:cs="Calibri"/>
                <w:color w:val="000000"/>
                <w:lang w:eastAsia="cs-CZ"/>
              </w:rPr>
              <w:t>17,91%</w:t>
            </w:r>
          </w:p>
        </w:tc>
      </w:tr>
    </w:tbl>
    <w:p w:rsidR="00196FB6" w:rsidRDefault="00CB28A9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b/>
          <w:color w:val="212529"/>
          <w:sz w:val="22"/>
          <w:szCs w:val="22"/>
        </w:rPr>
      </w:pPr>
      <w:r>
        <w:rPr>
          <w:rFonts w:asciiTheme="minorHAnsi" w:hAnsiTheme="minorHAnsi" w:cstheme="minorHAnsi"/>
          <w:b/>
          <w:color w:val="212529"/>
          <w:sz w:val="22"/>
          <w:szCs w:val="22"/>
        </w:rPr>
        <w:t>b</w:t>
      </w:r>
      <w:r w:rsidR="00196FB6" w:rsidRPr="00196FB6">
        <w:rPr>
          <w:rFonts w:asciiTheme="minorHAnsi" w:hAnsiTheme="minorHAnsi" w:cstheme="minorHAnsi"/>
          <w:b/>
          <w:color w:val="212529"/>
          <w:sz w:val="22"/>
          <w:szCs w:val="22"/>
        </w:rPr>
        <w:t>) Podíl cizích zdrojů k celkových aktivům</w:t>
      </w:r>
    </w:p>
    <w:p w:rsidR="001C0670" w:rsidRDefault="00046513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- tento ukazatel zachycuje míru zadlužení majetku daného ÚSC. Tzn. Jaký podíl aktiv je kryt cizími zdroji (hodnota by neměla přeskočit 25 %)</w:t>
      </w:r>
    </w:p>
    <w:tbl>
      <w:tblPr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2140"/>
        <w:gridCol w:w="960"/>
      </w:tblGrid>
      <w:tr w:rsidR="00AC2B10" w:rsidRPr="00AC2B10" w:rsidTr="00AC2B10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cizí zdroje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hodnota ukazatele</w:t>
            </w:r>
          </w:p>
        </w:tc>
      </w:tr>
      <w:tr w:rsidR="00AC2B10" w:rsidRPr="00AC2B10" w:rsidTr="00AC2B1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455 655 175,57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8 554 370 909,61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5,33%</w:t>
            </w:r>
          </w:p>
        </w:tc>
      </w:tr>
      <w:tr w:rsidR="00AC2B10" w:rsidRPr="00AC2B10" w:rsidTr="00AC2B1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422 812 800,58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8 781 712 106,41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4,81%</w:t>
            </w:r>
          </w:p>
        </w:tc>
      </w:tr>
      <w:tr w:rsidR="00AC2B10" w:rsidRPr="00AC2B10" w:rsidTr="00AC2B1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451 549 900,40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8 939 471 042,96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B10" w:rsidRPr="00AC2B10" w:rsidRDefault="00AC2B10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2B10">
              <w:rPr>
                <w:rFonts w:ascii="Calibri" w:eastAsia="Times New Roman" w:hAnsi="Calibri" w:cs="Calibri"/>
                <w:color w:val="000000"/>
                <w:lang w:eastAsia="cs-CZ"/>
              </w:rPr>
              <w:t>5,05%</w:t>
            </w:r>
          </w:p>
        </w:tc>
      </w:tr>
    </w:tbl>
    <w:p w:rsidR="00FD4F32" w:rsidRDefault="00FD4F32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b/>
          <w:color w:val="212529"/>
          <w:sz w:val="22"/>
          <w:szCs w:val="22"/>
        </w:rPr>
      </w:pPr>
    </w:p>
    <w:p w:rsidR="007035A6" w:rsidRDefault="00CB28A9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b/>
          <w:color w:val="212529"/>
          <w:sz w:val="22"/>
          <w:szCs w:val="22"/>
        </w:rPr>
      </w:pPr>
      <w:r>
        <w:rPr>
          <w:rFonts w:asciiTheme="minorHAnsi" w:hAnsiTheme="minorHAnsi" w:cstheme="minorHAnsi"/>
          <w:b/>
          <w:color w:val="212529"/>
          <w:sz w:val="22"/>
          <w:szCs w:val="22"/>
        </w:rPr>
        <w:t>c</w:t>
      </w:r>
      <w:r w:rsidR="007035A6" w:rsidRPr="007035A6">
        <w:rPr>
          <w:rFonts w:asciiTheme="minorHAnsi" w:hAnsiTheme="minorHAnsi" w:cstheme="minorHAnsi"/>
          <w:b/>
          <w:color w:val="212529"/>
          <w:sz w:val="22"/>
          <w:szCs w:val="22"/>
        </w:rPr>
        <w:t>) Celková likvidita</w:t>
      </w:r>
    </w:p>
    <w:p w:rsidR="007035A6" w:rsidRDefault="007035A6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- vyjadřuje podíl oběžných aktiv a krátkodobých závazků. Hodnota ukazatele nižší než 1 naznačuje, že obec není schopna splatit krátkodobé závazky (dostává se do platební neschopnosti)</w:t>
      </w:r>
    </w:p>
    <w:p w:rsidR="007035A6" w:rsidRDefault="007035A6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- hodnota by tudíž neměla být nižší než 1</w:t>
      </w:r>
    </w:p>
    <w:tbl>
      <w:tblPr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2140"/>
        <w:gridCol w:w="960"/>
      </w:tblGrid>
      <w:tr w:rsidR="000A14F2" w:rsidRPr="000A14F2" w:rsidTr="000A14F2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oběžná aktiva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krátkodobé závazky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hodnota ukazatele</w:t>
            </w:r>
          </w:p>
        </w:tc>
      </w:tr>
      <w:tr w:rsidR="000A14F2" w:rsidRPr="000A14F2" w:rsidTr="000A14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724 694 254,97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124 179 179,53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5,84%</w:t>
            </w:r>
          </w:p>
        </w:tc>
      </w:tr>
      <w:tr w:rsidR="000A14F2" w:rsidRPr="000A14F2" w:rsidTr="000A14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675 759 825,43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162 699 583,51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4,15%</w:t>
            </w:r>
          </w:p>
        </w:tc>
      </w:tr>
      <w:tr w:rsidR="000A14F2" w:rsidRPr="000A14F2" w:rsidTr="000A14F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866 071 393,37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166 803 369,89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4F2" w:rsidRPr="000A14F2" w:rsidRDefault="000A14F2" w:rsidP="00D706EA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4F2">
              <w:rPr>
                <w:rFonts w:ascii="Calibri" w:eastAsia="Times New Roman" w:hAnsi="Calibri" w:cs="Calibri"/>
                <w:color w:val="000000"/>
                <w:lang w:eastAsia="cs-CZ"/>
              </w:rPr>
              <w:t>5,19%</w:t>
            </w:r>
          </w:p>
        </w:tc>
      </w:tr>
    </w:tbl>
    <w:p w:rsidR="000A14F2" w:rsidRDefault="000A14F2" w:rsidP="00D706EA">
      <w:pPr>
        <w:pStyle w:val="Normlnweb"/>
        <w:shd w:val="clear" w:color="auto" w:fill="FFFFFF"/>
        <w:spacing w:before="100" w:beforeAutospacing="1"/>
        <w:rPr>
          <w:rFonts w:asciiTheme="minorHAnsi" w:hAnsiTheme="minorHAnsi" w:cstheme="minorHAnsi"/>
          <w:color w:val="212529"/>
          <w:sz w:val="22"/>
          <w:szCs w:val="22"/>
        </w:rPr>
      </w:pPr>
    </w:p>
    <w:p w:rsidR="00CB28A9" w:rsidRDefault="00CB28A9" w:rsidP="008B4351">
      <w:pPr>
        <w:pStyle w:val="Normlnweb"/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Výsledné hodnoty ukazatelů monitoringu hospodaření ÚSC jsou veřejně dostupné na informačním portálu Monitor – státní pokladna.</w:t>
      </w:r>
    </w:p>
    <w:p w:rsidR="008E3D03" w:rsidRDefault="008E3D03" w:rsidP="00160463">
      <w:pPr>
        <w:pStyle w:val="Normln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</w:p>
    <w:p w:rsidR="008E3D03" w:rsidRDefault="008E3D03" w:rsidP="00160463">
      <w:pPr>
        <w:pStyle w:val="Normln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</w:p>
    <w:p w:rsidR="008E3D03" w:rsidRDefault="008E3D03" w:rsidP="00160463">
      <w:pPr>
        <w:pStyle w:val="Normln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</w:p>
    <w:p w:rsidR="00727929" w:rsidRPr="007035A6" w:rsidRDefault="00727929" w:rsidP="00160463">
      <w:pPr>
        <w:pStyle w:val="Normln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Zpracovala: Kolodějová Lenka</w:t>
      </w:r>
    </w:p>
    <w:sectPr w:rsidR="00727929" w:rsidRPr="0070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2A7"/>
    <w:multiLevelType w:val="hybridMultilevel"/>
    <w:tmpl w:val="8E829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64E9"/>
    <w:multiLevelType w:val="multilevel"/>
    <w:tmpl w:val="0A8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E6249"/>
    <w:multiLevelType w:val="hybridMultilevel"/>
    <w:tmpl w:val="56660E8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E"/>
    <w:rsid w:val="00021422"/>
    <w:rsid w:val="00030BD5"/>
    <w:rsid w:val="00032ACF"/>
    <w:rsid w:val="000355A1"/>
    <w:rsid w:val="000408FE"/>
    <w:rsid w:val="00046513"/>
    <w:rsid w:val="00046D6A"/>
    <w:rsid w:val="000505A9"/>
    <w:rsid w:val="000731C3"/>
    <w:rsid w:val="00086890"/>
    <w:rsid w:val="00086D66"/>
    <w:rsid w:val="000A14F2"/>
    <w:rsid w:val="000B14EE"/>
    <w:rsid w:val="000B3603"/>
    <w:rsid w:val="000B7E2D"/>
    <w:rsid w:val="000C23D1"/>
    <w:rsid w:val="000C40C0"/>
    <w:rsid w:val="000C60E8"/>
    <w:rsid w:val="000D2E05"/>
    <w:rsid w:val="000D4383"/>
    <w:rsid w:val="000D4A31"/>
    <w:rsid w:val="000D4C72"/>
    <w:rsid w:val="000E40BE"/>
    <w:rsid w:val="000F1093"/>
    <w:rsid w:val="000F701F"/>
    <w:rsid w:val="00126FCA"/>
    <w:rsid w:val="00160463"/>
    <w:rsid w:val="00162AC3"/>
    <w:rsid w:val="00173AD9"/>
    <w:rsid w:val="00196FB6"/>
    <w:rsid w:val="001B5FF4"/>
    <w:rsid w:val="001B7F94"/>
    <w:rsid w:val="001C03C3"/>
    <w:rsid w:val="001C0670"/>
    <w:rsid w:val="001C288F"/>
    <w:rsid w:val="001C61B3"/>
    <w:rsid w:val="001D3BB0"/>
    <w:rsid w:val="001E047F"/>
    <w:rsid w:val="001E5156"/>
    <w:rsid w:val="001F4151"/>
    <w:rsid w:val="002077C9"/>
    <w:rsid w:val="00212C2E"/>
    <w:rsid w:val="00220B6E"/>
    <w:rsid w:val="002241B9"/>
    <w:rsid w:val="00237C13"/>
    <w:rsid w:val="00243099"/>
    <w:rsid w:val="00263738"/>
    <w:rsid w:val="00270F4F"/>
    <w:rsid w:val="002738B8"/>
    <w:rsid w:val="00285A25"/>
    <w:rsid w:val="002953C1"/>
    <w:rsid w:val="002A0E1D"/>
    <w:rsid w:val="002A78DB"/>
    <w:rsid w:val="002B4A2F"/>
    <w:rsid w:val="00347665"/>
    <w:rsid w:val="0038258E"/>
    <w:rsid w:val="003836C4"/>
    <w:rsid w:val="003A457D"/>
    <w:rsid w:val="003B048E"/>
    <w:rsid w:val="003C14CE"/>
    <w:rsid w:val="003C2981"/>
    <w:rsid w:val="003D33DA"/>
    <w:rsid w:val="003E32CF"/>
    <w:rsid w:val="003F077D"/>
    <w:rsid w:val="003F12CA"/>
    <w:rsid w:val="00424717"/>
    <w:rsid w:val="00442F3E"/>
    <w:rsid w:val="004435DA"/>
    <w:rsid w:val="00490022"/>
    <w:rsid w:val="00490F78"/>
    <w:rsid w:val="00494FF0"/>
    <w:rsid w:val="004A676E"/>
    <w:rsid w:val="004A7FE1"/>
    <w:rsid w:val="004B3A23"/>
    <w:rsid w:val="004C3DFB"/>
    <w:rsid w:val="004D1C1A"/>
    <w:rsid w:val="004E64C2"/>
    <w:rsid w:val="004F25F2"/>
    <w:rsid w:val="00514BCF"/>
    <w:rsid w:val="00515473"/>
    <w:rsid w:val="0052191F"/>
    <w:rsid w:val="005237BA"/>
    <w:rsid w:val="00531274"/>
    <w:rsid w:val="005377ED"/>
    <w:rsid w:val="00544452"/>
    <w:rsid w:val="0055146B"/>
    <w:rsid w:val="005563D0"/>
    <w:rsid w:val="005625B9"/>
    <w:rsid w:val="005813F3"/>
    <w:rsid w:val="00592528"/>
    <w:rsid w:val="00597DC5"/>
    <w:rsid w:val="005D4C6B"/>
    <w:rsid w:val="006014EE"/>
    <w:rsid w:val="00622006"/>
    <w:rsid w:val="00626752"/>
    <w:rsid w:val="00653727"/>
    <w:rsid w:val="00660824"/>
    <w:rsid w:val="00663E29"/>
    <w:rsid w:val="00675473"/>
    <w:rsid w:val="006876B4"/>
    <w:rsid w:val="006A7200"/>
    <w:rsid w:val="006B3C38"/>
    <w:rsid w:val="007035A6"/>
    <w:rsid w:val="00714F20"/>
    <w:rsid w:val="00727929"/>
    <w:rsid w:val="00732D35"/>
    <w:rsid w:val="00742FAC"/>
    <w:rsid w:val="007444A8"/>
    <w:rsid w:val="00744BFE"/>
    <w:rsid w:val="00750EE9"/>
    <w:rsid w:val="007547FF"/>
    <w:rsid w:val="0076222F"/>
    <w:rsid w:val="00765D4E"/>
    <w:rsid w:val="00775314"/>
    <w:rsid w:val="0077643C"/>
    <w:rsid w:val="007841E1"/>
    <w:rsid w:val="00790C63"/>
    <w:rsid w:val="007A1BB7"/>
    <w:rsid w:val="007A63F0"/>
    <w:rsid w:val="007B06EB"/>
    <w:rsid w:val="007C2178"/>
    <w:rsid w:val="007C34C4"/>
    <w:rsid w:val="007D45C9"/>
    <w:rsid w:val="00800F45"/>
    <w:rsid w:val="00832063"/>
    <w:rsid w:val="0083320F"/>
    <w:rsid w:val="008342B8"/>
    <w:rsid w:val="00844069"/>
    <w:rsid w:val="00846324"/>
    <w:rsid w:val="00866DB3"/>
    <w:rsid w:val="00873051"/>
    <w:rsid w:val="00882AA2"/>
    <w:rsid w:val="00883725"/>
    <w:rsid w:val="0089757E"/>
    <w:rsid w:val="00897DFE"/>
    <w:rsid w:val="008A366D"/>
    <w:rsid w:val="008A7E5D"/>
    <w:rsid w:val="008B4351"/>
    <w:rsid w:val="008C2D11"/>
    <w:rsid w:val="008C490B"/>
    <w:rsid w:val="008E3D03"/>
    <w:rsid w:val="009047D2"/>
    <w:rsid w:val="009313C5"/>
    <w:rsid w:val="00936C7C"/>
    <w:rsid w:val="009444E3"/>
    <w:rsid w:val="00955D49"/>
    <w:rsid w:val="009A17DC"/>
    <w:rsid w:val="009A7FCB"/>
    <w:rsid w:val="009B057E"/>
    <w:rsid w:val="009B4CC9"/>
    <w:rsid w:val="009B4F59"/>
    <w:rsid w:val="009B571F"/>
    <w:rsid w:val="009B7662"/>
    <w:rsid w:val="009E14D4"/>
    <w:rsid w:val="009E5188"/>
    <w:rsid w:val="00A07598"/>
    <w:rsid w:val="00A075FC"/>
    <w:rsid w:val="00A306C5"/>
    <w:rsid w:val="00A52F46"/>
    <w:rsid w:val="00A56D49"/>
    <w:rsid w:val="00A72D18"/>
    <w:rsid w:val="00A84923"/>
    <w:rsid w:val="00AA0F0D"/>
    <w:rsid w:val="00AA1B1D"/>
    <w:rsid w:val="00AC120E"/>
    <w:rsid w:val="00AC2B10"/>
    <w:rsid w:val="00AE3F5C"/>
    <w:rsid w:val="00AE7475"/>
    <w:rsid w:val="00AF58B2"/>
    <w:rsid w:val="00B001E2"/>
    <w:rsid w:val="00B15994"/>
    <w:rsid w:val="00B17659"/>
    <w:rsid w:val="00B25369"/>
    <w:rsid w:val="00B2757B"/>
    <w:rsid w:val="00B441CE"/>
    <w:rsid w:val="00B4541D"/>
    <w:rsid w:val="00B54813"/>
    <w:rsid w:val="00B677EE"/>
    <w:rsid w:val="00B7444B"/>
    <w:rsid w:val="00BB14BE"/>
    <w:rsid w:val="00BD19EF"/>
    <w:rsid w:val="00BD693C"/>
    <w:rsid w:val="00BE14FD"/>
    <w:rsid w:val="00C15B46"/>
    <w:rsid w:val="00C17A52"/>
    <w:rsid w:val="00C42B0B"/>
    <w:rsid w:val="00C46148"/>
    <w:rsid w:val="00C54519"/>
    <w:rsid w:val="00C553F9"/>
    <w:rsid w:val="00C75BFA"/>
    <w:rsid w:val="00C85F20"/>
    <w:rsid w:val="00C87282"/>
    <w:rsid w:val="00CA3688"/>
    <w:rsid w:val="00CB28A9"/>
    <w:rsid w:val="00CC403A"/>
    <w:rsid w:val="00D12ED9"/>
    <w:rsid w:val="00D36134"/>
    <w:rsid w:val="00D60461"/>
    <w:rsid w:val="00D604EC"/>
    <w:rsid w:val="00D706EA"/>
    <w:rsid w:val="00DA22F8"/>
    <w:rsid w:val="00DA5AED"/>
    <w:rsid w:val="00DB14B0"/>
    <w:rsid w:val="00DB2756"/>
    <w:rsid w:val="00DC2EDF"/>
    <w:rsid w:val="00DF4778"/>
    <w:rsid w:val="00DF5A91"/>
    <w:rsid w:val="00DF5B80"/>
    <w:rsid w:val="00E010CC"/>
    <w:rsid w:val="00E05E1E"/>
    <w:rsid w:val="00E1223C"/>
    <w:rsid w:val="00E15A91"/>
    <w:rsid w:val="00E21652"/>
    <w:rsid w:val="00E36880"/>
    <w:rsid w:val="00E478FB"/>
    <w:rsid w:val="00E50466"/>
    <w:rsid w:val="00E57B40"/>
    <w:rsid w:val="00E60D03"/>
    <w:rsid w:val="00E64862"/>
    <w:rsid w:val="00E70B80"/>
    <w:rsid w:val="00E86E1C"/>
    <w:rsid w:val="00E95FC4"/>
    <w:rsid w:val="00EA4EA9"/>
    <w:rsid w:val="00F11790"/>
    <w:rsid w:val="00F1751E"/>
    <w:rsid w:val="00F7183F"/>
    <w:rsid w:val="00FA576A"/>
    <w:rsid w:val="00FB61DC"/>
    <w:rsid w:val="00FD4F32"/>
    <w:rsid w:val="00FD5DE1"/>
    <w:rsid w:val="00FF1705"/>
    <w:rsid w:val="00FF316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A1B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22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A1B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22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8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6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9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ysClr val="windowText" lastClr="000000"/>
                </a:solidFill>
              </a:rPr>
              <a:t>Aktiva v tis. Kč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List1!$B$25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List1!$A$26:$A$26</c:f>
              <c:strCache>
                <c:ptCount val="1"/>
                <c:pt idx="0">
                  <c:v>Dlouhodobý hmotný majetek</c:v>
                </c:pt>
              </c:strCache>
            </c:strRef>
          </c:cat>
          <c:val>
            <c:numRef>
              <c:f>List1!$B$26:$B$26</c:f>
              <c:numCache>
                <c:formatCode>#,##0</c:formatCode>
                <c:ptCount val="1"/>
                <c:pt idx="0">
                  <c:v>5284014.9000000004</c:v>
                </c:pt>
              </c:numCache>
            </c:numRef>
          </c:val>
        </c:ser>
        <c:ser>
          <c:idx val="1"/>
          <c:order val="1"/>
          <c:tx>
            <c:strRef>
              <c:f>List1!$C$25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List1!$A$26:$A$26</c:f>
              <c:strCache>
                <c:ptCount val="1"/>
                <c:pt idx="0">
                  <c:v>Dlouhodobý hmotný majetek</c:v>
                </c:pt>
              </c:strCache>
            </c:strRef>
          </c:cat>
          <c:val>
            <c:numRef>
              <c:f>List1!$C$26:$C$26</c:f>
              <c:numCache>
                <c:formatCode>#,##0</c:formatCode>
                <c:ptCount val="1"/>
                <c:pt idx="0">
                  <c:v>5424174.2599999998</c:v>
                </c:pt>
              </c:numCache>
            </c:numRef>
          </c:val>
        </c:ser>
        <c:ser>
          <c:idx val="2"/>
          <c:order val="2"/>
          <c:tx>
            <c:strRef>
              <c:f>List1!$D$25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List1!$A$26:$A$26</c:f>
              <c:strCache>
                <c:ptCount val="1"/>
                <c:pt idx="0">
                  <c:v>Dlouhodobý hmotný majetek</c:v>
                </c:pt>
              </c:strCache>
            </c:strRef>
          </c:cat>
          <c:val>
            <c:numRef>
              <c:f>List1!$D$26:$D$26</c:f>
              <c:numCache>
                <c:formatCode>#,##0</c:formatCode>
                <c:ptCount val="1"/>
                <c:pt idx="0">
                  <c:v>5231662.4400000004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463168"/>
        <c:axId val="41464960"/>
      </c:barChart>
      <c:catAx>
        <c:axId val="41463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464960"/>
        <c:crosses val="autoZero"/>
        <c:auto val="1"/>
        <c:lblAlgn val="ctr"/>
        <c:lblOffset val="100"/>
        <c:noMultiLvlLbl val="0"/>
      </c:catAx>
      <c:valAx>
        <c:axId val="41464960"/>
        <c:scaling>
          <c:orientation val="minMax"/>
        </c:scaling>
        <c:delete val="1"/>
        <c:axPos val="b"/>
        <c:numFmt formatCode="#,##0\ &quot;Kč&quot;" sourceLinked="0"/>
        <c:majorTickMark val="none"/>
        <c:minorTickMark val="none"/>
        <c:tickLblPos val="nextTo"/>
        <c:crossAx val="4146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ysClr val="windowText" lastClr="000000"/>
                </a:solidFill>
              </a:rPr>
              <a:t>Aktiva v tis. Kč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List1!$A$26:$A$31</c:f>
              <c:strCache>
                <c:ptCount val="6"/>
                <c:pt idx="0">
                  <c:v>Dlouhodobý nehmotný majetek</c:v>
                </c:pt>
                <c:pt idx="1">
                  <c:v>Dlouhodobý finanční majetek</c:v>
                </c:pt>
                <c:pt idx="2">
                  <c:v>Dlouhodobé pohledávky</c:v>
                </c:pt>
                <c:pt idx="3">
                  <c:v>Zásoby</c:v>
                </c:pt>
                <c:pt idx="4">
                  <c:v>Krátkodobé pohledávky</c:v>
                </c:pt>
                <c:pt idx="5">
                  <c:v>Krátkodobý finanční majetek</c:v>
                </c:pt>
              </c:strCache>
            </c:strRef>
          </c:cat>
          <c:val>
            <c:numRef>
              <c:f>List1!$B$26:$B$31</c:f>
              <c:numCache>
                <c:formatCode>#,##0</c:formatCode>
                <c:ptCount val="6"/>
                <c:pt idx="0">
                  <c:v>60759.28</c:v>
                </c:pt>
                <c:pt idx="1">
                  <c:v>342687.54</c:v>
                </c:pt>
                <c:pt idx="2">
                  <c:v>12331.23</c:v>
                </c:pt>
                <c:pt idx="3">
                  <c:v>10852.33</c:v>
                </c:pt>
                <c:pt idx="4">
                  <c:v>144623.67999999999</c:v>
                </c:pt>
                <c:pt idx="5">
                  <c:v>710595.38</c:v>
                </c:pt>
              </c:numCache>
            </c:numRef>
          </c:val>
        </c:ser>
        <c:ser>
          <c:idx val="1"/>
          <c:order val="1"/>
          <c:tx>
            <c:strRef>
              <c:f>List1!$C$25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List1!$A$26:$A$31</c:f>
              <c:strCache>
                <c:ptCount val="6"/>
                <c:pt idx="0">
                  <c:v>Dlouhodobý nehmotný majetek</c:v>
                </c:pt>
                <c:pt idx="1">
                  <c:v>Dlouhodobý finanční majetek</c:v>
                </c:pt>
                <c:pt idx="2">
                  <c:v>Dlouhodobé pohledávky</c:v>
                </c:pt>
                <c:pt idx="3">
                  <c:v>Zásoby</c:v>
                </c:pt>
                <c:pt idx="4">
                  <c:v>Krátkodobé pohledávky</c:v>
                </c:pt>
                <c:pt idx="5">
                  <c:v>Krátkodobý finanční majetek</c:v>
                </c:pt>
              </c:strCache>
            </c:strRef>
          </c:cat>
          <c:val>
            <c:numRef>
              <c:f>List1!$C$26:$C$31</c:f>
              <c:numCache>
                <c:formatCode>#,##0</c:formatCode>
                <c:ptCount val="6"/>
                <c:pt idx="0">
                  <c:v>61773.66</c:v>
                </c:pt>
                <c:pt idx="1">
                  <c:v>343260.6</c:v>
                </c:pt>
                <c:pt idx="2">
                  <c:v>9159.9500000000007</c:v>
                </c:pt>
                <c:pt idx="3">
                  <c:v>8334.7999999999993</c:v>
                </c:pt>
                <c:pt idx="4">
                  <c:v>89182.74</c:v>
                </c:pt>
                <c:pt idx="5">
                  <c:v>578242.28</c:v>
                </c:pt>
              </c:numCache>
            </c:numRef>
          </c:val>
        </c:ser>
        <c:ser>
          <c:idx val="2"/>
          <c:order val="2"/>
          <c:tx>
            <c:strRef>
              <c:f>List1!$D$25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List1!$A$26:$A$31</c:f>
              <c:strCache>
                <c:ptCount val="6"/>
                <c:pt idx="0">
                  <c:v>Dlouhodobý nehmotný majetek</c:v>
                </c:pt>
                <c:pt idx="1">
                  <c:v>Dlouhodobý finanční majetek</c:v>
                </c:pt>
                <c:pt idx="2">
                  <c:v>Dlouhodobé pohledávky</c:v>
                </c:pt>
                <c:pt idx="3">
                  <c:v>Zásoby</c:v>
                </c:pt>
                <c:pt idx="4">
                  <c:v>Krátkodobé pohledávky</c:v>
                </c:pt>
                <c:pt idx="5">
                  <c:v>Krátkodobý finanční majetek</c:v>
                </c:pt>
              </c:strCache>
            </c:strRef>
          </c:cat>
          <c:val>
            <c:numRef>
              <c:f>List1!$D$26:$D$31</c:f>
              <c:numCache>
                <c:formatCode>#,##0</c:formatCode>
                <c:ptCount val="6"/>
                <c:pt idx="0">
                  <c:v>65775.649999999994</c:v>
                </c:pt>
                <c:pt idx="1">
                  <c:v>307454.71000000002</c:v>
                </c:pt>
                <c:pt idx="2">
                  <c:v>49025.18</c:v>
                </c:pt>
                <c:pt idx="3">
                  <c:v>8500.3700000000008</c:v>
                </c:pt>
                <c:pt idx="4">
                  <c:v>216268.05</c:v>
                </c:pt>
                <c:pt idx="5">
                  <c:v>499925.84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17344"/>
        <c:axId val="41877888"/>
      </c:barChart>
      <c:catAx>
        <c:axId val="4141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77888"/>
        <c:crosses val="autoZero"/>
        <c:auto val="1"/>
        <c:lblAlgn val="ctr"/>
        <c:lblOffset val="100"/>
        <c:noMultiLvlLbl val="0"/>
      </c:catAx>
      <c:valAx>
        <c:axId val="4187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i="0" baseline="0">
                    <a:solidFill>
                      <a:sysClr val="windowText" lastClr="000000"/>
                    </a:solidFill>
                  </a:rPr>
                  <a:t>V tis. Kč</a:t>
                </a:r>
              </a:p>
            </c:rich>
          </c:tx>
          <c:layout>
            <c:manualLayout>
              <c:xMode val="edge"/>
              <c:yMode val="edge"/>
              <c:x val="4.6948356807511738E-3"/>
              <c:y val="0.383285441439452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417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 baseline="0">
                <a:solidFill>
                  <a:sysClr val="windowText" lastClr="000000"/>
                </a:solidFill>
              </a:rPr>
              <a:t>P</a:t>
            </a:r>
            <a:r>
              <a:rPr lang="en-US" b="1" baseline="0">
                <a:solidFill>
                  <a:sysClr val="windowText" lastClr="000000"/>
                </a:solidFill>
              </a:rPr>
              <a:t>asiva</a:t>
            </a:r>
            <a:r>
              <a:rPr lang="cs-CZ" b="1" baseline="0">
                <a:solidFill>
                  <a:sysClr val="windowText" lastClr="000000"/>
                </a:solidFill>
              </a:rPr>
              <a:t> v tis. Kč</a:t>
            </a:r>
            <a:endParaRPr lang="en-US" b="1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List2!$B$15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List2!$A$16:$A$16</c:f>
              <c:strCache>
                <c:ptCount val="1"/>
                <c:pt idx="0">
                  <c:v>Jmění účetní jednotky a upr.pol.</c:v>
                </c:pt>
              </c:strCache>
            </c:strRef>
          </c:cat>
          <c:val>
            <c:numRef>
              <c:f>List2!$B$16:$B$16</c:f>
              <c:numCache>
                <c:formatCode>#,##0</c:formatCode>
                <c:ptCount val="1"/>
                <c:pt idx="0">
                  <c:v>4689985.0269799996</c:v>
                </c:pt>
              </c:numCache>
            </c:numRef>
          </c:val>
        </c:ser>
        <c:ser>
          <c:idx val="1"/>
          <c:order val="1"/>
          <c:tx>
            <c:strRef>
              <c:f>List2!$C$15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List2!$A$16:$A$16</c:f>
              <c:strCache>
                <c:ptCount val="1"/>
                <c:pt idx="0">
                  <c:v>Jmění účetní jednotky a upr.pol.</c:v>
                </c:pt>
              </c:strCache>
            </c:strRef>
          </c:cat>
          <c:val>
            <c:numRef>
              <c:f>List2!$C$16:$C$16</c:f>
              <c:numCache>
                <c:formatCode>#,##0</c:formatCode>
                <c:ptCount val="1"/>
                <c:pt idx="0">
                  <c:v>4904099.98795</c:v>
                </c:pt>
              </c:numCache>
            </c:numRef>
          </c:val>
        </c:ser>
        <c:ser>
          <c:idx val="2"/>
          <c:order val="2"/>
          <c:tx>
            <c:strRef>
              <c:f>List2!$D$15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List2!$A$16:$A$16</c:f>
              <c:strCache>
                <c:ptCount val="1"/>
                <c:pt idx="0">
                  <c:v>Jmění účetní jednotky a upr.pol.</c:v>
                </c:pt>
              </c:strCache>
            </c:strRef>
          </c:cat>
          <c:val>
            <c:numRef>
              <c:f>List2!$D$16:$D$16</c:f>
              <c:numCache>
                <c:formatCode>#,##0</c:formatCode>
                <c:ptCount val="1"/>
                <c:pt idx="0">
                  <c:v>4872544.8470400004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07328"/>
        <c:axId val="41908864"/>
      </c:barChart>
      <c:catAx>
        <c:axId val="4190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908864"/>
        <c:crosses val="autoZero"/>
        <c:auto val="1"/>
        <c:lblAlgn val="ctr"/>
        <c:lblOffset val="100"/>
        <c:noMultiLvlLbl val="0"/>
      </c:catAx>
      <c:valAx>
        <c:axId val="41908864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extTo"/>
        <c:crossAx val="4190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 baseline="0">
                <a:solidFill>
                  <a:sysClr val="windowText" lastClr="000000"/>
                </a:solidFill>
              </a:rPr>
              <a:t>P</a:t>
            </a:r>
            <a:r>
              <a:rPr lang="en-US" b="1" baseline="0">
                <a:solidFill>
                  <a:sysClr val="windowText" lastClr="000000"/>
                </a:solidFill>
              </a:rPr>
              <a:t>asiva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List2!$B$15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List2!$A$16:$A$19</c:f>
              <c:strCache>
                <c:ptCount val="4"/>
                <c:pt idx="0">
                  <c:v>Fondy</c:v>
                </c:pt>
                <c:pt idx="1">
                  <c:v>Výsledek hospodaření</c:v>
                </c:pt>
                <c:pt idx="2">
                  <c:v>Dlouhodobé závazky</c:v>
                </c:pt>
                <c:pt idx="3">
                  <c:v>Krátkodobé závazky</c:v>
                </c:pt>
              </c:strCache>
            </c:strRef>
          </c:cat>
          <c:val>
            <c:numRef>
              <c:f>List2!$B$16:$B$19</c:f>
              <c:numCache>
                <c:formatCode>#,##0</c:formatCode>
                <c:ptCount val="4"/>
                <c:pt idx="0">
                  <c:v>144933.25150000001</c:v>
                </c:pt>
                <c:pt idx="1">
                  <c:v>1279396.17402</c:v>
                </c:pt>
                <c:pt idx="2">
                  <c:v>284746.53044999996</c:v>
                </c:pt>
                <c:pt idx="3">
                  <c:v>166803.36988999997</c:v>
                </c:pt>
              </c:numCache>
            </c:numRef>
          </c:val>
        </c:ser>
        <c:ser>
          <c:idx val="1"/>
          <c:order val="1"/>
          <c:tx>
            <c:strRef>
              <c:f>List2!$C$15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List2!$A$16:$A$19</c:f>
              <c:strCache>
                <c:ptCount val="4"/>
                <c:pt idx="0">
                  <c:v>Fondy</c:v>
                </c:pt>
                <c:pt idx="1">
                  <c:v>Výsledek hospodaření</c:v>
                </c:pt>
                <c:pt idx="2">
                  <c:v>Dlouhodobé závazky</c:v>
                </c:pt>
                <c:pt idx="3">
                  <c:v>Krátkodobé závazky</c:v>
                </c:pt>
              </c:strCache>
            </c:strRef>
          </c:cat>
          <c:val>
            <c:numRef>
              <c:f>List2!$C$16:$C$19</c:f>
              <c:numCache>
                <c:formatCode>#,##0</c:formatCode>
                <c:ptCount val="4"/>
                <c:pt idx="0">
                  <c:v>57120.256759999997</c:v>
                </c:pt>
                <c:pt idx="1">
                  <c:v>1130095.26144</c:v>
                </c:pt>
                <c:pt idx="2">
                  <c:v>260113.21706999998</c:v>
                </c:pt>
                <c:pt idx="3">
                  <c:v>162699.58351</c:v>
                </c:pt>
              </c:numCache>
            </c:numRef>
          </c:val>
        </c:ser>
        <c:ser>
          <c:idx val="2"/>
          <c:order val="2"/>
          <c:tx>
            <c:strRef>
              <c:f>List2!$D$15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List2!$A$16:$A$19</c:f>
              <c:strCache>
                <c:ptCount val="4"/>
                <c:pt idx="0">
                  <c:v>Fondy</c:v>
                </c:pt>
                <c:pt idx="1">
                  <c:v>Výsledek hospodaření</c:v>
                </c:pt>
                <c:pt idx="2">
                  <c:v>Dlouhodobé závazky</c:v>
                </c:pt>
                <c:pt idx="3">
                  <c:v>Krátkodobé závazky</c:v>
                </c:pt>
              </c:strCache>
            </c:strRef>
          </c:cat>
          <c:val>
            <c:numRef>
              <c:f>List2!$D$16:$D$19</c:f>
              <c:numCache>
                <c:formatCode>#,##0</c:formatCode>
                <c:ptCount val="4"/>
                <c:pt idx="0">
                  <c:v>54203.533369999997</c:v>
                </c:pt>
                <c:pt idx="1">
                  <c:v>996208.67605999997</c:v>
                </c:pt>
                <c:pt idx="2">
                  <c:v>331475.99604</c:v>
                </c:pt>
                <c:pt idx="3">
                  <c:v>124179.17952999999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00064"/>
        <c:axId val="41801600"/>
      </c:barChart>
      <c:catAx>
        <c:axId val="4180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01600"/>
        <c:crosses val="autoZero"/>
        <c:auto val="1"/>
        <c:lblAlgn val="ctr"/>
        <c:lblOffset val="100"/>
        <c:noMultiLvlLbl val="0"/>
      </c:catAx>
      <c:valAx>
        <c:axId val="4180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i="0" baseline="0">
                    <a:solidFill>
                      <a:sysClr val="windowText" lastClr="000000"/>
                    </a:solidFill>
                  </a:rPr>
                  <a:t>V tis. KČ</a:t>
                </a:r>
              </a:p>
            </c:rich>
          </c:tx>
          <c:layout>
            <c:manualLayout>
              <c:xMode val="edge"/>
              <c:yMode val="edge"/>
              <c:x val="1.2391572218534158E-2"/>
              <c:y val="0.424769532611276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00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0" baseline="0">
                <a:solidFill>
                  <a:sysClr val="windowText" lastClr="000000"/>
                </a:solidFill>
              </a:rPr>
              <a:t>V</a:t>
            </a:r>
            <a:r>
              <a:rPr lang="cs-CZ" sz="1400" b="1" i="0" baseline="0">
                <a:solidFill>
                  <a:sysClr val="windowText" lastClr="000000"/>
                </a:solidFill>
              </a:rPr>
              <a:t>ybrané</a:t>
            </a:r>
            <a:r>
              <a:rPr lang="cs-CZ" b="1" i="0" baseline="0">
                <a:solidFill>
                  <a:sysClr val="windowText" lastClr="000000"/>
                </a:solidFill>
              </a:rPr>
              <a:t> nákladové</a:t>
            </a:r>
            <a:r>
              <a:rPr lang="cs-CZ" b="1" i="0" baseline="0"/>
              <a:t> </a:t>
            </a:r>
            <a:r>
              <a:rPr lang="cs-CZ" b="1" i="0" baseline="0">
                <a:solidFill>
                  <a:sysClr val="windowText" lastClr="000000"/>
                </a:solidFill>
              </a:rPr>
              <a:t>účty v tis. Kč</a:t>
            </a:r>
            <a:endParaRPr lang="en-US" b="1" i="0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List1!$B$41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List1!$A$42:$A$51</c:f>
              <c:strCache>
                <c:ptCount val="10"/>
                <c:pt idx="0">
                  <c:v>502 spotřeba energe</c:v>
                </c:pt>
                <c:pt idx="1">
                  <c:v>511 opravy a udržování</c:v>
                </c:pt>
                <c:pt idx="2">
                  <c:v>518 služby</c:v>
                </c:pt>
                <c:pt idx="3">
                  <c:v>521 mzdové náklady</c:v>
                </c:pt>
                <c:pt idx="4">
                  <c:v>524 zákonné soc.poj.</c:v>
                </c:pt>
                <c:pt idx="5">
                  <c:v>551 odpisy dlouh.maj.</c:v>
                </c:pt>
                <c:pt idx="6">
                  <c:v>553 prodaný dlouh.hm.maj.</c:v>
                </c:pt>
                <c:pt idx="7">
                  <c:v>554 prodané pozemky</c:v>
                </c:pt>
                <c:pt idx="8">
                  <c:v>572 náklady na transfery</c:v>
                </c:pt>
                <c:pt idx="9">
                  <c:v>591 daň z příjmů</c:v>
                </c:pt>
              </c:strCache>
            </c:strRef>
          </c:cat>
          <c:val>
            <c:numRef>
              <c:f>List1!$B$42:$B$51</c:f>
              <c:numCache>
                <c:formatCode>#,##0.00</c:formatCode>
                <c:ptCount val="10"/>
                <c:pt idx="0">
                  <c:v>16284.591</c:v>
                </c:pt>
                <c:pt idx="1">
                  <c:v>36853.686000000002</c:v>
                </c:pt>
                <c:pt idx="2">
                  <c:v>285610.27500000002</c:v>
                </c:pt>
                <c:pt idx="3">
                  <c:v>181803.37899999999</c:v>
                </c:pt>
                <c:pt idx="4">
                  <c:v>57178.94</c:v>
                </c:pt>
                <c:pt idx="5">
                  <c:v>121539.08500000001</c:v>
                </c:pt>
                <c:pt idx="6">
                  <c:v>46560.207999999999</c:v>
                </c:pt>
                <c:pt idx="7">
                  <c:v>57221.487000000001</c:v>
                </c:pt>
                <c:pt idx="8">
                  <c:v>325587.23499999999</c:v>
                </c:pt>
                <c:pt idx="9">
                  <c:v>46792.75</c:v>
                </c:pt>
              </c:numCache>
            </c:numRef>
          </c:val>
        </c:ser>
        <c:ser>
          <c:idx val="1"/>
          <c:order val="1"/>
          <c:tx>
            <c:strRef>
              <c:f>List1!$C$41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List1!$A$42:$A$51</c:f>
              <c:strCache>
                <c:ptCount val="10"/>
                <c:pt idx="0">
                  <c:v>502 spotřeba energe</c:v>
                </c:pt>
                <c:pt idx="1">
                  <c:v>511 opravy a udržování</c:v>
                </c:pt>
                <c:pt idx="2">
                  <c:v>518 služby</c:v>
                </c:pt>
                <c:pt idx="3">
                  <c:v>521 mzdové náklady</c:v>
                </c:pt>
                <c:pt idx="4">
                  <c:v>524 zákonné soc.poj.</c:v>
                </c:pt>
                <c:pt idx="5">
                  <c:v>551 odpisy dlouh.maj.</c:v>
                </c:pt>
                <c:pt idx="6">
                  <c:v>553 prodaný dlouh.hm.maj.</c:v>
                </c:pt>
                <c:pt idx="7">
                  <c:v>554 prodané pozemky</c:v>
                </c:pt>
                <c:pt idx="8">
                  <c:v>572 náklady na transfery</c:v>
                </c:pt>
                <c:pt idx="9">
                  <c:v>591 daň z příjmů</c:v>
                </c:pt>
              </c:strCache>
            </c:strRef>
          </c:cat>
          <c:val>
            <c:numRef>
              <c:f>List1!$C$42:$C$51</c:f>
              <c:numCache>
                <c:formatCode>#,##0.00</c:formatCode>
                <c:ptCount val="10"/>
                <c:pt idx="0">
                  <c:v>20723.396000000001</c:v>
                </c:pt>
                <c:pt idx="1">
                  <c:v>90070.898000000001</c:v>
                </c:pt>
                <c:pt idx="2">
                  <c:v>288910.69699999999</c:v>
                </c:pt>
                <c:pt idx="3">
                  <c:v>175437.454</c:v>
                </c:pt>
                <c:pt idx="4">
                  <c:v>55581.461000000003</c:v>
                </c:pt>
                <c:pt idx="5">
                  <c:v>118645.348</c:v>
                </c:pt>
                <c:pt idx="6">
                  <c:v>2457.1660000000002</c:v>
                </c:pt>
                <c:pt idx="7">
                  <c:v>11613.877</c:v>
                </c:pt>
                <c:pt idx="8">
                  <c:v>331078.462</c:v>
                </c:pt>
                <c:pt idx="9">
                  <c:v>23689.23</c:v>
                </c:pt>
              </c:numCache>
            </c:numRef>
          </c:val>
        </c:ser>
        <c:ser>
          <c:idx val="2"/>
          <c:order val="2"/>
          <c:tx>
            <c:strRef>
              <c:f>List1!$D$41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List1!$A$42:$A$51</c:f>
              <c:strCache>
                <c:ptCount val="10"/>
                <c:pt idx="0">
                  <c:v>502 spotřeba energe</c:v>
                </c:pt>
                <c:pt idx="1">
                  <c:v>511 opravy a udržování</c:v>
                </c:pt>
                <c:pt idx="2">
                  <c:v>518 služby</c:v>
                </c:pt>
                <c:pt idx="3">
                  <c:v>521 mzdové náklady</c:v>
                </c:pt>
                <c:pt idx="4">
                  <c:v>524 zákonné soc.poj.</c:v>
                </c:pt>
                <c:pt idx="5">
                  <c:v>551 odpisy dlouh.maj.</c:v>
                </c:pt>
                <c:pt idx="6">
                  <c:v>553 prodaný dlouh.hm.maj.</c:v>
                </c:pt>
                <c:pt idx="7">
                  <c:v>554 prodané pozemky</c:v>
                </c:pt>
                <c:pt idx="8">
                  <c:v>572 náklady na transfery</c:v>
                </c:pt>
                <c:pt idx="9">
                  <c:v>591 daň z příjmů</c:v>
                </c:pt>
              </c:strCache>
            </c:strRef>
          </c:cat>
          <c:val>
            <c:numRef>
              <c:f>List1!$D$42:$D$51</c:f>
              <c:numCache>
                <c:formatCode>#,##0.00</c:formatCode>
                <c:ptCount val="10"/>
                <c:pt idx="0">
                  <c:v>17572.496999999999</c:v>
                </c:pt>
                <c:pt idx="1">
                  <c:v>87448.755999999994</c:v>
                </c:pt>
                <c:pt idx="2">
                  <c:v>202158.342</c:v>
                </c:pt>
                <c:pt idx="3">
                  <c:v>167749.535</c:v>
                </c:pt>
                <c:pt idx="4">
                  <c:v>52240.961000000003</c:v>
                </c:pt>
                <c:pt idx="5">
                  <c:v>112808.72100000001</c:v>
                </c:pt>
                <c:pt idx="6">
                  <c:v>3385.491</c:v>
                </c:pt>
                <c:pt idx="7">
                  <c:v>11443.596</c:v>
                </c:pt>
                <c:pt idx="8">
                  <c:v>304253.17499999999</c:v>
                </c:pt>
                <c:pt idx="9">
                  <c:v>31959.81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20288"/>
        <c:axId val="41421824"/>
      </c:barChart>
      <c:catAx>
        <c:axId val="4142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421824"/>
        <c:crosses val="autoZero"/>
        <c:auto val="1"/>
        <c:lblAlgn val="ctr"/>
        <c:lblOffset val="100"/>
        <c:noMultiLvlLbl val="0"/>
      </c:catAx>
      <c:valAx>
        <c:axId val="4142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i="0" baseline="0">
                    <a:solidFill>
                      <a:sysClr val="windowText" lastClr="000000"/>
                    </a:solidFill>
                  </a:rPr>
                  <a:t>V tis. Kč</a:t>
                </a:r>
              </a:p>
            </c:rich>
          </c:tx>
          <c:layout>
            <c:manualLayout>
              <c:xMode val="edge"/>
              <c:yMode val="edge"/>
              <c:x val="1.1043622308117063E-2"/>
              <c:y val="0.314376363874056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42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ysClr val="windowText" lastClr="000000"/>
                </a:solidFill>
              </a:rPr>
              <a:t>Vybrané výnosové účty v tis. Kč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List1!$B$80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List1!$A$81:$A$92</c:f>
              <c:strCache>
                <c:ptCount val="12"/>
                <c:pt idx="0">
                  <c:v>602 výnosy z prodeje služeb</c:v>
                </c:pt>
                <c:pt idx="1">
                  <c:v>603 výnosy z pronájmu</c:v>
                </c:pt>
                <c:pt idx="2">
                  <c:v>605 výnosy ze správních poplatků </c:v>
                </c:pt>
                <c:pt idx="3">
                  <c:v>606 výnosy z místních poplatků</c:v>
                </c:pt>
                <c:pt idx="4">
                  <c:v>647 výnosy z prodeje pozemků</c:v>
                </c:pt>
                <c:pt idx="5">
                  <c:v>664 výnosy z přecenění reál.hod.</c:v>
                </c:pt>
                <c:pt idx="6">
                  <c:v>672 výnosy z transferů</c:v>
                </c:pt>
                <c:pt idx="7">
                  <c:v>681 ze sdílené daně z príjmů f.osob</c:v>
                </c:pt>
                <c:pt idx="8">
                  <c:v>682 ze sdílené daně z příj.pr.osob</c:v>
                </c:pt>
                <c:pt idx="9">
                  <c:v>684 ze sídlené danš z přid.hod.</c:v>
                </c:pt>
                <c:pt idx="10">
                  <c:v>686 ze sdílenýh majetkových daní</c:v>
                </c:pt>
                <c:pt idx="11">
                  <c:v>688 z ost.sdílených daní a poplatků</c:v>
                </c:pt>
              </c:strCache>
            </c:strRef>
          </c:cat>
          <c:val>
            <c:numRef>
              <c:f>List1!$B$81:$B$92</c:f>
              <c:numCache>
                <c:formatCode>#,##0.00</c:formatCode>
                <c:ptCount val="12"/>
                <c:pt idx="0">
                  <c:v>17273.473999999998</c:v>
                </c:pt>
                <c:pt idx="1">
                  <c:v>48252.928999999996</c:v>
                </c:pt>
                <c:pt idx="2">
                  <c:v>15393.536</c:v>
                </c:pt>
                <c:pt idx="3">
                  <c:v>35683.748</c:v>
                </c:pt>
                <c:pt idx="4">
                  <c:v>63603.741999999998</c:v>
                </c:pt>
                <c:pt idx="5">
                  <c:v>74115.578999999998</c:v>
                </c:pt>
                <c:pt idx="6">
                  <c:v>194932.54399999999</c:v>
                </c:pt>
                <c:pt idx="7">
                  <c:v>246685.39600000001</c:v>
                </c:pt>
                <c:pt idx="8">
                  <c:v>198848.728</c:v>
                </c:pt>
                <c:pt idx="9">
                  <c:v>417138.86499999999</c:v>
                </c:pt>
                <c:pt idx="10">
                  <c:v>65357.78</c:v>
                </c:pt>
                <c:pt idx="11">
                  <c:v>43827.69</c:v>
                </c:pt>
              </c:numCache>
            </c:numRef>
          </c:val>
        </c:ser>
        <c:ser>
          <c:idx val="1"/>
          <c:order val="1"/>
          <c:tx>
            <c:strRef>
              <c:f>List1!$C$80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List1!$A$81:$A$92</c:f>
              <c:strCache>
                <c:ptCount val="12"/>
                <c:pt idx="0">
                  <c:v>602 výnosy z prodeje služeb</c:v>
                </c:pt>
                <c:pt idx="1">
                  <c:v>603 výnosy z pronájmu</c:v>
                </c:pt>
                <c:pt idx="2">
                  <c:v>605 výnosy ze správních poplatků </c:v>
                </c:pt>
                <c:pt idx="3">
                  <c:v>606 výnosy z místních poplatků</c:v>
                </c:pt>
                <c:pt idx="4">
                  <c:v>647 výnosy z prodeje pozemků</c:v>
                </c:pt>
                <c:pt idx="5">
                  <c:v>664 výnosy z přecenění reál.hod.</c:v>
                </c:pt>
                <c:pt idx="6">
                  <c:v>672 výnosy z transferů</c:v>
                </c:pt>
                <c:pt idx="7">
                  <c:v>681 ze sdílené daně z príjmů f.osob</c:v>
                </c:pt>
                <c:pt idx="8">
                  <c:v>682 ze sdílené daně z příj.pr.osob</c:v>
                </c:pt>
                <c:pt idx="9">
                  <c:v>684 ze sídlené danš z přid.hod.</c:v>
                </c:pt>
                <c:pt idx="10">
                  <c:v>686 ze sdílenýh majetkových daní</c:v>
                </c:pt>
                <c:pt idx="11">
                  <c:v>688 z ost.sdílených daní a poplatků</c:v>
                </c:pt>
              </c:strCache>
            </c:strRef>
          </c:cat>
          <c:val>
            <c:numRef>
              <c:f>List1!$C$81:$C$92</c:f>
              <c:numCache>
                <c:formatCode>#,##0.00</c:formatCode>
                <c:ptCount val="12"/>
                <c:pt idx="0">
                  <c:v>22165.668000000001</c:v>
                </c:pt>
                <c:pt idx="1">
                  <c:v>47218.116000000002</c:v>
                </c:pt>
                <c:pt idx="2">
                  <c:v>18945.648000000001</c:v>
                </c:pt>
                <c:pt idx="3">
                  <c:v>27688.418000000001</c:v>
                </c:pt>
                <c:pt idx="4">
                  <c:v>13137.77</c:v>
                </c:pt>
                <c:pt idx="5">
                  <c:v>4762.0820000000003</c:v>
                </c:pt>
                <c:pt idx="6">
                  <c:v>114003.24800000001</c:v>
                </c:pt>
                <c:pt idx="7">
                  <c:v>262217.12599999999</c:v>
                </c:pt>
                <c:pt idx="8">
                  <c:v>212121.34599999999</c:v>
                </c:pt>
                <c:pt idx="9">
                  <c:v>424987.94199999998</c:v>
                </c:pt>
                <c:pt idx="10">
                  <c:v>66247.255000000005</c:v>
                </c:pt>
                <c:pt idx="11">
                  <c:v>47444.981</c:v>
                </c:pt>
              </c:numCache>
            </c:numRef>
          </c:val>
        </c:ser>
        <c:ser>
          <c:idx val="2"/>
          <c:order val="2"/>
          <c:tx>
            <c:strRef>
              <c:f>List1!$D$80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List1!$A$81:$A$92</c:f>
              <c:strCache>
                <c:ptCount val="12"/>
                <c:pt idx="0">
                  <c:v>602 výnosy z prodeje služeb</c:v>
                </c:pt>
                <c:pt idx="1">
                  <c:v>603 výnosy z pronájmu</c:v>
                </c:pt>
                <c:pt idx="2">
                  <c:v>605 výnosy ze správních poplatků </c:v>
                </c:pt>
                <c:pt idx="3">
                  <c:v>606 výnosy z místních poplatků</c:v>
                </c:pt>
                <c:pt idx="4">
                  <c:v>647 výnosy z prodeje pozemků</c:v>
                </c:pt>
                <c:pt idx="5">
                  <c:v>664 výnosy z přecenění reál.hod.</c:v>
                </c:pt>
                <c:pt idx="6">
                  <c:v>672 výnosy z transferů</c:v>
                </c:pt>
                <c:pt idx="7">
                  <c:v>681 ze sdílené daně z príjmů f.osob</c:v>
                </c:pt>
                <c:pt idx="8">
                  <c:v>682 ze sdílené daně z příj.pr.osob</c:v>
                </c:pt>
                <c:pt idx="9">
                  <c:v>684 ze sídlené danš z přid.hod.</c:v>
                </c:pt>
                <c:pt idx="10">
                  <c:v>686 ze sdílenýh majetkových daní</c:v>
                </c:pt>
                <c:pt idx="11">
                  <c:v>688 z ost.sdílených daní a poplatků</c:v>
                </c:pt>
              </c:strCache>
            </c:strRef>
          </c:cat>
          <c:val>
            <c:numRef>
              <c:f>List1!$D$81:$D$92</c:f>
              <c:numCache>
                <c:formatCode>#,##0.00</c:formatCode>
                <c:ptCount val="12"/>
                <c:pt idx="0">
                  <c:v>28474.93</c:v>
                </c:pt>
                <c:pt idx="1">
                  <c:v>45645.688000000002</c:v>
                </c:pt>
                <c:pt idx="2">
                  <c:v>19828.39</c:v>
                </c:pt>
                <c:pt idx="3">
                  <c:v>28840.612000000001</c:v>
                </c:pt>
                <c:pt idx="4">
                  <c:v>19920.79</c:v>
                </c:pt>
                <c:pt idx="5">
                  <c:v>3004.748</c:v>
                </c:pt>
                <c:pt idx="6">
                  <c:v>116074.34</c:v>
                </c:pt>
                <c:pt idx="7">
                  <c:v>235259.82500000001</c:v>
                </c:pt>
                <c:pt idx="8">
                  <c:v>198003.15100000001</c:v>
                </c:pt>
                <c:pt idx="9">
                  <c:v>408697.82299999997</c:v>
                </c:pt>
                <c:pt idx="10">
                  <c:v>65138.777999999998</c:v>
                </c:pt>
                <c:pt idx="11">
                  <c:v>52481.436999999998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487808"/>
        <c:axId val="66489344"/>
      </c:barChart>
      <c:catAx>
        <c:axId val="664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489344"/>
        <c:crosses val="autoZero"/>
        <c:auto val="1"/>
        <c:lblAlgn val="ctr"/>
        <c:lblOffset val="100"/>
        <c:noMultiLvlLbl val="0"/>
      </c:catAx>
      <c:valAx>
        <c:axId val="6648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i="0" baseline="0">
                    <a:solidFill>
                      <a:schemeClr val="tx1"/>
                    </a:solidFill>
                  </a:rPr>
                  <a:t>V tis. Kč</a:t>
                </a:r>
              </a:p>
            </c:rich>
          </c:tx>
          <c:layout>
            <c:manualLayout>
              <c:xMode val="edge"/>
              <c:yMode val="edge"/>
              <c:x val="1.4708586137157566E-2"/>
              <c:y val="0.317199470811691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48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263A-5F74-4290-A070-7007BA0C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1595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Kolodějová Lenka</dc:creator>
  <cp:keywords/>
  <dc:description/>
  <cp:lastModifiedBy>Šteyerová Dagmar</cp:lastModifiedBy>
  <cp:revision>10</cp:revision>
  <cp:lastPrinted>2021-05-20T05:35:00Z</cp:lastPrinted>
  <dcterms:created xsi:type="dcterms:W3CDTF">2021-05-04T05:00:00Z</dcterms:created>
  <dcterms:modified xsi:type="dcterms:W3CDTF">2021-05-20T05:37:00Z</dcterms:modified>
</cp:coreProperties>
</file>